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77D4F" w14:textId="35D4702A" w:rsidR="003A0360" w:rsidRDefault="00D1645D" w:rsidP="00943327">
      <w:pPr>
        <w:jc w:val="center"/>
        <w:rPr>
          <w:b/>
          <w:bCs/>
          <w:sz w:val="28"/>
          <w:szCs w:val="28"/>
        </w:rPr>
      </w:pPr>
      <w:r w:rsidRPr="00D1645D">
        <w:rPr>
          <w:b/>
          <w:bCs/>
          <w:sz w:val="28"/>
          <w:szCs w:val="28"/>
        </w:rPr>
        <w:t xml:space="preserve">Course Brochure – </w:t>
      </w:r>
      <w:r w:rsidR="0083708C">
        <w:rPr>
          <w:b/>
          <w:bCs/>
          <w:sz w:val="28"/>
          <w:szCs w:val="28"/>
        </w:rPr>
        <w:t>CPC</w:t>
      </w:r>
      <w:r w:rsidR="009E284A">
        <w:rPr>
          <w:b/>
          <w:bCs/>
          <w:sz w:val="28"/>
          <w:szCs w:val="28"/>
        </w:rPr>
        <w:t>5</w:t>
      </w:r>
      <w:r w:rsidR="00CC4738">
        <w:rPr>
          <w:b/>
          <w:bCs/>
          <w:sz w:val="28"/>
          <w:szCs w:val="28"/>
        </w:rPr>
        <w:t>0</w:t>
      </w:r>
      <w:r w:rsidR="0083708C">
        <w:rPr>
          <w:b/>
          <w:bCs/>
          <w:sz w:val="28"/>
          <w:szCs w:val="28"/>
        </w:rPr>
        <w:t>2</w:t>
      </w:r>
      <w:r w:rsidR="008D4AD0">
        <w:rPr>
          <w:b/>
          <w:bCs/>
          <w:sz w:val="28"/>
          <w:szCs w:val="28"/>
        </w:rPr>
        <w:t>20</w:t>
      </w:r>
      <w:r w:rsidRPr="00D1645D">
        <w:rPr>
          <w:b/>
          <w:bCs/>
          <w:sz w:val="28"/>
          <w:szCs w:val="28"/>
        </w:rPr>
        <w:t xml:space="preserve"> </w:t>
      </w:r>
      <w:r w:rsidR="009E284A">
        <w:rPr>
          <w:b/>
          <w:bCs/>
          <w:sz w:val="28"/>
          <w:szCs w:val="28"/>
        </w:rPr>
        <w:t>Diploma of Building and Construction (Building)</w:t>
      </w:r>
    </w:p>
    <w:p w14:paraId="45A0829B" w14:textId="471D43CE" w:rsidR="00D1645D" w:rsidRDefault="003A0360" w:rsidP="00943327">
      <w:pPr>
        <w:jc w:val="center"/>
        <w:rPr>
          <w:b/>
          <w:bCs/>
          <w:sz w:val="28"/>
          <w:szCs w:val="28"/>
        </w:rPr>
      </w:pPr>
      <w:bookmarkStart w:id="0" w:name="_Hlk57632506"/>
      <w:r>
        <w:rPr>
          <w:b/>
          <w:bCs/>
          <w:sz w:val="28"/>
          <w:szCs w:val="28"/>
        </w:rPr>
        <w:t xml:space="preserve">(CRICOS Course Code: </w:t>
      </w:r>
      <w:r w:rsidR="00A862C7" w:rsidRPr="00A862C7">
        <w:rPr>
          <w:b/>
          <w:bCs/>
          <w:sz w:val="28"/>
          <w:szCs w:val="28"/>
        </w:rPr>
        <w:t>11021</w:t>
      </w:r>
      <w:r w:rsidR="00375A59">
        <w:rPr>
          <w:b/>
          <w:bCs/>
          <w:sz w:val="28"/>
          <w:szCs w:val="28"/>
        </w:rPr>
        <w:t>5C</w:t>
      </w:r>
      <w:r>
        <w:rPr>
          <w:b/>
          <w:bCs/>
          <w:sz w:val="28"/>
          <w:szCs w:val="28"/>
        </w:rPr>
        <w:t>)</w:t>
      </w:r>
    </w:p>
    <w:tbl>
      <w:tblPr>
        <w:tblStyle w:val="TableGrid"/>
        <w:tblpPr w:leftFromText="180" w:rightFromText="180" w:vertAnchor="page" w:horzAnchor="margin" w:tblpY="2683"/>
        <w:tblW w:w="0" w:type="auto"/>
        <w:tblLook w:val="04A0" w:firstRow="1" w:lastRow="0" w:firstColumn="1" w:lastColumn="0" w:noHBand="0" w:noVBand="1"/>
      </w:tblPr>
      <w:tblGrid>
        <w:gridCol w:w="2405"/>
        <w:gridCol w:w="3402"/>
        <w:gridCol w:w="3118"/>
      </w:tblGrid>
      <w:tr w:rsidR="003A0360" w:rsidRPr="008D0CB4" w14:paraId="520B4EC4" w14:textId="77777777" w:rsidTr="003A0360">
        <w:tc>
          <w:tcPr>
            <w:tcW w:w="5807" w:type="dxa"/>
            <w:gridSpan w:val="2"/>
            <w:shd w:val="clear" w:color="auto" w:fill="2F5496" w:themeFill="accent1" w:themeFillShade="BF"/>
          </w:tcPr>
          <w:bookmarkEnd w:id="0"/>
          <w:p w14:paraId="20717FF4" w14:textId="77777777" w:rsidR="003A0360" w:rsidRPr="008D0CB4" w:rsidRDefault="003A0360" w:rsidP="003A0360">
            <w:pPr>
              <w:pStyle w:val="RTOWorksHeading2"/>
              <w:spacing w:before="180"/>
              <w:jc w:val="both"/>
              <w:rPr>
                <w:sz w:val="18"/>
                <w:szCs w:val="18"/>
              </w:rPr>
            </w:pPr>
            <w:r w:rsidRPr="00243739">
              <w:rPr>
                <w:color w:val="FFFFFF" w:themeColor="background1"/>
                <w:sz w:val="18"/>
                <w:szCs w:val="18"/>
              </w:rPr>
              <w:t>Course details</w:t>
            </w:r>
          </w:p>
        </w:tc>
        <w:tc>
          <w:tcPr>
            <w:tcW w:w="3118" w:type="dxa"/>
            <w:vMerge w:val="restart"/>
            <w:vAlign w:val="center"/>
          </w:tcPr>
          <w:p w14:paraId="3D466E89" w14:textId="77777777" w:rsidR="003A0360" w:rsidRPr="008D0CB4" w:rsidRDefault="003A0360" w:rsidP="003A0360">
            <w:pPr>
              <w:jc w:val="center"/>
              <w:rPr>
                <w:b/>
                <w:bCs/>
                <w:sz w:val="18"/>
                <w:szCs w:val="18"/>
              </w:rPr>
            </w:pPr>
            <w:r w:rsidRPr="008D0CB4">
              <w:rPr>
                <w:noProof/>
                <w:sz w:val="18"/>
                <w:szCs w:val="18"/>
                <w:lang w:eastAsia="en-GB"/>
              </w:rPr>
              <w:drawing>
                <wp:inline distT="0" distB="0" distL="0" distR="0" wp14:anchorId="59E3F9C4" wp14:editId="19F1C01A">
                  <wp:extent cx="1052316" cy="820309"/>
                  <wp:effectExtent l="0" t="0" r="0" b="0"/>
                  <wp:docPr id="1" name="Picture 3"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2316" cy="820309"/>
                          </a:xfrm>
                          <a:prstGeom prst="rect">
                            <a:avLst/>
                          </a:prstGeom>
                          <a:noFill/>
                          <a:ln>
                            <a:noFill/>
                          </a:ln>
                        </pic:spPr>
                      </pic:pic>
                    </a:graphicData>
                  </a:graphic>
                </wp:inline>
              </w:drawing>
            </w:r>
          </w:p>
        </w:tc>
      </w:tr>
      <w:tr w:rsidR="003A0360" w:rsidRPr="008D0CB4" w14:paraId="7F335383" w14:textId="77777777" w:rsidTr="003A0360">
        <w:tc>
          <w:tcPr>
            <w:tcW w:w="2405" w:type="dxa"/>
            <w:shd w:val="clear" w:color="auto" w:fill="2F5496" w:themeFill="accent1" w:themeFillShade="BF"/>
          </w:tcPr>
          <w:p w14:paraId="16D99C9B" w14:textId="77777777" w:rsidR="003A0360" w:rsidRPr="00243739" w:rsidRDefault="003A0360" w:rsidP="003A0360">
            <w:pPr>
              <w:pStyle w:val="RTOWorksBodyText"/>
              <w:jc w:val="both"/>
              <w:rPr>
                <w:noProof/>
                <w:color w:val="FFFFFF" w:themeColor="background1"/>
                <w:sz w:val="18"/>
                <w:szCs w:val="18"/>
              </w:rPr>
            </w:pPr>
            <w:r w:rsidRPr="00243739">
              <w:rPr>
                <w:noProof/>
                <w:color w:val="FFFFFF" w:themeColor="background1"/>
                <w:sz w:val="18"/>
                <w:szCs w:val="18"/>
              </w:rPr>
              <w:t>Provider Name</w:t>
            </w:r>
          </w:p>
        </w:tc>
        <w:tc>
          <w:tcPr>
            <w:tcW w:w="3402" w:type="dxa"/>
            <w:shd w:val="clear" w:color="auto" w:fill="auto"/>
          </w:tcPr>
          <w:p w14:paraId="3559B343" w14:textId="47AA43D1" w:rsidR="003A0360" w:rsidRPr="008D0CB4" w:rsidRDefault="006B130F" w:rsidP="003A0360">
            <w:pPr>
              <w:pStyle w:val="RTOWorksBodyText"/>
              <w:jc w:val="both"/>
              <w:rPr>
                <w:sz w:val="18"/>
                <w:szCs w:val="18"/>
              </w:rPr>
            </w:pPr>
            <w:r>
              <w:rPr>
                <w:noProof/>
                <w:sz w:val="18"/>
                <w:szCs w:val="18"/>
              </w:rPr>
              <w:t>Workplace Health and Safety Services Pty Ltd t/a GET Education Australia</w:t>
            </w:r>
          </w:p>
        </w:tc>
        <w:tc>
          <w:tcPr>
            <w:tcW w:w="3118" w:type="dxa"/>
            <w:vMerge/>
          </w:tcPr>
          <w:p w14:paraId="4D3ED9B8" w14:textId="77777777" w:rsidR="003A0360" w:rsidRPr="008D0CB4" w:rsidRDefault="003A0360" w:rsidP="003A0360">
            <w:pPr>
              <w:jc w:val="both"/>
              <w:rPr>
                <w:sz w:val="18"/>
                <w:szCs w:val="18"/>
              </w:rPr>
            </w:pPr>
          </w:p>
        </w:tc>
      </w:tr>
      <w:tr w:rsidR="003A0360" w:rsidRPr="008D0CB4" w14:paraId="37857156" w14:textId="77777777" w:rsidTr="003A0360">
        <w:tc>
          <w:tcPr>
            <w:tcW w:w="2405" w:type="dxa"/>
            <w:shd w:val="clear" w:color="auto" w:fill="2F5496" w:themeFill="accent1" w:themeFillShade="BF"/>
          </w:tcPr>
          <w:p w14:paraId="6F17C977" w14:textId="77777777" w:rsidR="003A0360" w:rsidRPr="00243739" w:rsidRDefault="003A0360" w:rsidP="003A0360">
            <w:pPr>
              <w:pStyle w:val="RTOWorksBodyText"/>
              <w:jc w:val="both"/>
              <w:rPr>
                <w:noProof/>
                <w:color w:val="FFFFFF" w:themeColor="background1"/>
                <w:sz w:val="18"/>
                <w:szCs w:val="18"/>
              </w:rPr>
            </w:pPr>
            <w:r w:rsidRPr="00243739">
              <w:rPr>
                <w:noProof/>
                <w:color w:val="FFFFFF" w:themeColor="background1"/>
                <w:sz w:val="18"/>
                <w:szCs w:val="18"/>
              </w:rPr>
              <w:t>RTO Code</w:t>
            </w:r>
          </w:p>
        </w:tc>
        <w:tc>
          <w:tcPr>
            <w:tcW w:w="3402" w:type="dxa"/>
            <w:shd w:val="clear" w:color="auto" w:fill="auto"/>
          </w:tcPr>
          <w:p w14:paraId="7E98C440" w14:textId="32D90E94" w:rsidR="003A0360" w:rsidRPr="005E48B3" w:rsidRDefault="006B130F" w:rsidP="003A0360">
            <w:pPr>
              <w:pStyle w:val="RTOWorksBodyText"/>
              <w:jc w:val="both"/>
              <w:rPr>
                <w:sz w:val="18"/>
                <w:szCs w:val="18"/>
              </w:rPr>
            </w:pPr>
            <w:r>
              <w:rPr>
                <w:sz w:val="18"/>
                <w:szCs w:val="18"/>
              </w:rPr>
              <w:t>31401</w:t>
            </w:r>
          </w:p>
        </w:tc>
        <w:tc>
          <w:tcPr>
            <w:tcW w:w="3118" w:type="dxa"/>
            <w:vMerge/>
          </w:tcPr>
          <w:p w14:paraId="45ADCC5A" w14:textId="77777777" w:rsidR="003A0360" w:rsidRPr="008D0CB4" w:rsidRDefault="003A0360" w:rsidP="003A0360">
            <w:pPr>
              <w:jc w:val="both"/>
              <w:rPr>
                <w:sz w:val="18"/>
                <w:szCs w:val="18"/>
              </w:rPr>
            </w:pPr>
          </w:p>
        </w:tc>
      </w:tr>
      <w:tr w:rsidR="003A0360" w:rsidRPr="008D0CB4" w14:paraId="30B447EC" w14:textId="77777777" w:rsidTr="003A0360">
        <w:tc>
          <w:tcPr>
            <w:tcW w:w="2405" w:type="dxa"/>
            <w:shd w:val="clear" w:color="auto" w:fill="2F5496" w:themeFill="accent1" w:themeFillShade="BF"/>
          </w:tcPr>
          <w:p w14:paraId="722B28D7" w14:textId="03A8A451" w:rsidR="003A0360" w:rsidRPr="00243739" w:rsidRDefault="003A0360" w:rsidP="003A0360">
            <w:pPr>
              <w:pStyle w:val="RTOWorksBodyText"/>
              <w:jc w:val="both"/>
              <w:rPr>
                <w:noProof/>
                <w:color w:val="FFFFFF" w:themeColor="background1"/>
                <w:sz w:val="18"/>
                <w:szCs w:val="18"/>
              </w:rPr>
            </w:pPr>
            <w:r>
              <w:rPr>
                <w:noProof/>
                <w:color w:val="FFFFFF" w:themeColor="background1"/>
                <w:sz w:val="18"/>
                <w:szCs w:val="18"/>
              </w:rPr>
              <w:t>CRICOS Code</w:t>
            </w:r>
          </w:p>
        </w:tc>
        <w:tc>
          <w:tcPr>
            <w:tcW w:w="3402" w:type="dxa"/>
            <w:shd w:val="clear" w:color="auto" w:fill="auto"/>
          </w:tcPr>
          <w:p w14:paraId="7CCAAFE5" w14:textId="300AA640" w:rsidR="003A0360" w:rsidRDefault="00E40157" w:rsidP="003A0360">
            <w:pPr>
              <w:pStyle w:val="RTOWorksBodyText"/>
              <w:jc w:val="both"/>
              <w:rPr>
                <w:sz w:val="18"/>
                <w:szCs w:val="18"/>
              </w:rPr>
            </w:pPr>
            <w:r>
              <w:rPr>
                <w:sz w:val="18"/>
                <w:szCs w:val="18"/>
              </w:rPr>
              <w:t>03990K</w:t>
            </w:r>
          </w:p>
        </w:tc>
        <w:tc>
          <w:tcPr>
            <w:tcW w:w="3118" w:type="dxa"/>
            <w:vMerge/>
          </w:tcPr>
          <w:p w14:paraId="06CAE4B2" w14:textId="77777777" w:rsidR="003A0360" w:rsidRPr="008D0CB4" w:rsidRDefault="003A0360" w:rsidP="003A0360">
            <w:pPr>
              <w:jc w:val="both"/>
              <w:rPr>
                <w:sz w:val="18"/>
                <w:szCs w:val="18"/>
              </w:rPr>
            </w:pPr>
          </w:p>
        </w:tc>
      </w:tr>
      <w:tr w:rsidR="003A0360" w:rsidRPr="008D0CB4" w14:paraId="28EE79A5" w14:textId="77777777" w:rsidTr="003A0360">
        <w:tc>
          <w:tcPr>
            <w:tcW w:w="2405" w:type="dxa"/>
            <w:shd w:val="clear" w:color="auto" w:fill="2F5496" w:themeFill="accent1" w:themeFillShade="BF"/>
          </w:tcPr>
          <w:p w14:paraId="1559C583" w14:textId="60C001AB" w:rsidR="003A0360" w:rsidRPr="00243739" w:rsidRDefault="003A0360" w:rsidP="003A0360">
            <w:pPr>
              <w:pStyle w:val="RTOWorksBodyText"/>
              <w:jc w:val="both"/>
              <w:rPr>
                <w:noProof/>
                <w:color w:val="FFFFFF" w:themeColor="background1"/>
                <w:sz w:val="18"/>
                <w:szCs w:val="18"/>
              </w:rPr>
            </w:pPr>
            <w:r>
              <w:rPr>
                <w:noProof/>
                <w:color w:val="FFFFFF" w:themeColor="background1"/>
                <w:sz w:val="18"/>
                <w:szCs w:val="18"/>
              </w:rPr>
              <w:t>Delivery l</w:t>
            </w:r>
            <w:r w:rsidRPr="00243739">
              <w:rPr>
                <w:noProof/>
                <w:color w:val="FFFFFF" w:themeColor="background1"/>
                <w:sz w:val="18"/>
                <w:szCs w:val="18"/>
              </w:rPr>
              <w:t>ocation of course</w:t>
            </w:r>
          </w:p>
        </w:tc>
        <w:tc>
          <w:tcPr>
            <w:tcW w:w="3402" w:type="dxa"/>
            <w:shd w:val="clear" w:color="auto" w:fill="auto"/>
          </w:tcPr>
          <w:p w14:paraId="2FFB0131" w14:textId="661AC4F0" w:rsidR="003A0360" w:rsidRPr="00D1645D" w:rsidRDefault="006B130F" w:rsidP="003A0360">
            <w:pPr>
              <w:pStyle w:val="RTOWorksBodyText"/>
              <w:jc w:val="both"/>
              <w:rPr>
                <w:sz w:val="18"/>
                <w:szCs w:val="18"/>
              </w:rPr>
            </w:pPr>
            <w:r>
              <w:rPr>
                <w:sz w:val="18"/>
                <w:szCs w:val="18"/>
              </w:rPr>
              <w:t xml:space="preserve">Level 4, 180 Bourke </w:t>
            </w:r>
            <w:r w:rsidR="005B3BBB">
              <w:rPr>
                <w:sz w:val="18"/>
                <w:szCs w:val="18"/>
              </w:rPr>
              <w:t xml:space="preserve">Street, </w:t>
            </w:r>
            <w:r>
              <w:rPr>
                <w:sz w:val="18"/>
                <w:szCs w:val="18"/>
              </w:rPr>
              <w:t>Melbourne VIC 3000</w:t>
            </w:r>
          </w:p>
        </w:tc>
        <w:tc>
          <w:tcPr>
            <w:tcW w:w="3118" w:type="dxa"/>
            <w:vMerge/>
            <w:vAlign w:val="center"/>
          </w:tcPr>
          <w:p w14:paraId="4B697D08" w14:textId="77777777" w:rsidR="003A0360" w:rsidRPr="008D0CB4" w:rsidRDefault="003A0360" w:rsidP="003A0360">
            <w:pPr>
              <w:jc w:val="both"/>
              <w:rPr>
                <w:sz w:val="18"/>
                <w:szCs w:val="18"/>
              </w:rPr>
            </w:pPr>
          </w:p>
        </w:tc>
      </w:tr>
      <w:tr w:rsidR="00D9672A" w:rsidRPr="008D0CB4" w14:paraId="357B1263" w14:textId="77777777" w:rsidTr="003A0360">
        <w:tc>
          <w:tcPr>
            <w:tcW w:w="2405" w:type="dxa"/>
            <w:shd w:val="clear" w:color="auto" w:fill="2F5496" w:themeFill="accent1" w:themeFillShade="BF"/>
          </w:tcPr>
          <w:p w14:paraId="54D34D7A" w14:textId="52776180" w:rsidR="00D9672A" w:rsidRDefault="00D9672A" w:rsidP="003A0360">
            <w:pPr>
              <w:pStyle w:val="RTOWorksBodyText"/>
              <w:jc w:val="both"/>
              <w:rPr>
                <w:noProof/>
                <w:color w:val="FFFFFF" w:themeColor="background1"/>
                <w:sz w:val="18"/>
                <w:szCs w:val="18"/>
              </w:rPr>
            </w:pPr>
            <w:r>
              <w:rPr>
                <w:noProof/>
                <w:color w:val="FFFFFF" w:themeColor="background1"/>
                <w:sz w:val="18"/>
                <w:szCs w:val="18"/>
              </w:rPr>
              <w:t>Warehouse Address:</w:t>
            </w:r>
          </w:p>
        </w:tc>
        <w:tc>
          <w:tcPr>
            <w:tcW w:w="3402" w:type="dxa"/>
            <w:shd w:val="clear" w:color="auto" w:fill="auto"/>
          </w:tcPr>
          <w:p w14:paraId="49502D71" w14:textId="1FDAC2C6" w:rsidR="00D9672A" w:rsidRDefault="00D9672A" w:rsidP="003A0360">
            <w:pPr>
              <w:pStyle w:val="RTOWorksBodyText"/>
              <w:jc w:val="both"/>
              <w:rPr>
                <w:sz w:val="18"/>
                <w:szCs w:val="18"/>
              </w:rPr>
            </w:pPr>
            <w:r w:rsidRPr="00823C6E">
              <w:rPr>
                <w:sz w:val="18"/>
                <w:szCs w:val="18"/>
                <w:highlight w:val="yellow"/>
              </w:rPr>
              <w:t>{</w:t>
            </w:r>
            <w:r w:rsidR="00823C6E">
              <w:rPr>
                <w:sz w:val="18"/>
                <w:szCs w:val="18"/>
                <w:highlight w:val="yellow"/>
              </w:rPr>
              <w:t xml:space="preserve">Please </w:t>
            </w:r>
            <w:r w:rsidRPr="00823C6E">
              <w:rPr>
                <w:sz w:val="18"/>
                <w:szCs w:val="18"/>
                <w:highlight w:val="yellow"/>
              </w:rPr>
              <w:t>Insert Address}</w:t>
            </w:r>
          </w:p>
        </w:tc>
        <w:tc>
          <w:tcPr>
            <w:tcW w:w="3118" w:type="dxa"/>
            <w:vMerge/>
            <w:vAlign w:val="center"/>
          </w:tcPr>
          <w:p w14:paraId="23EC2603" w14:textId="77777777" w:rsidR="00D9672A" w:rsidRPr="008D0CB4" w:rsidRDefault="00D9672A" w:rsidP="003A0360">
            <w:pPr>
              <w:jc w:val="both"/>
              <w:rPr>
                <w:sz w:val="18"/>
                <w:szCs w:val="18"/>
              </w:rPr>
            </w:pPr>
          </w:p>
        </w:tc>
      </w:tr>
      <w:tr w:rsidR="003A0360" w:rsidRPr="008D0CB4" w14:paraId="546E07D2" w14:textId="77777777" w:rsidTr="003A0360">
        <w:tc>
          <w:tcPr>
            <w:tcW w:w="2405" w:type="dxa"/>
            <w:shd w:val="clear" w:color="auto" w:fill="2F5496" w:themeFill="accent1" w:themeFillShade="BF"/>
          </w:tcPr>
          <w:p w14:paraId="5FBD6B55" w14:textId="77777777" w:rsidR="003A0360" w:rsidRPr="00243739" w:rsidRDefault="003A0360" w:rsidP="003A0360">
            <w:pPr>
              <w:pStyle w:val="RTOWorksBodyText"/>
              <w:jc w:val="both"/>
              <w:rPr>
                <w:noProof/>
                <w:color w:val="FFFFFF" w:themeColor="background1"/>
                <w:sz w:val="18"/>
                <w:szCs w:val="18"/>
              </w:rPr>
            </w:pPr>
            <w:r w:rsidRPr="00243739">
              <w:rPr>
                <w:noProof/>
                <w:color w:val="FFFFFF" w:themeColor="background1"/>
                <w:sz w:val="18"/>
                <w:szCs w:val="18"/>
              </w:rPr>
              <w:t>Delivery mode</w:t>
            </w:r>
          </w:p>
        </w:tc>
        <w:tc>
          <w:tcPr>
            <w:tcW w:w="3402" w:type="dxa"/>
            <w:shd w:val="clear" w:color="auto" w:fill="auto"/>
          </w:tcPr>
          <w:p w14:paraId="28EF3B61" w14:textId="77777777" w:rsidR="003A0360" w:rsidRDefault="003A0360" w:rsidP="003A0360">
            <w:pPr>
              <w:pStyle w:val="RTOWorksBodyText"/>
              <w:jc w:val="both"/>
              <w:rPr>
                <w:noProof/>
                <w:sz w:val="18"/>
                <w:szCs w:val="18"/>
              </w:rPr>
            </w:pPr>
            <w:r w:rsidRPr="005E48B3">
              <w:rPr>
                <w:noProof/>
                <w:sz w:val="18"/>
                <w:szCs w:val="18"/>
              </w:rPr>
              <w:t xml:space="preserve">Face to face </w:t>
            </w:r>
            <w:r>
              <w:rPr>
                <w:noProof/>
                <w:sz w:val="18"/>
                <w:szCs w:val="18"/>
              </w:rPr>
              <w:t>(Classroom based)</w:t>
            </w:r>
          </w:p>
          <w:p w14:paraId="00CB8528" w14:textId="4CDBD2F7" w:rsidR="003A0360" w:rsidRPr="005E48B3" w:rsidRDefault="003A0360" w:rsidP="003A0360">
            <w:pPr>
              <w:pStyle w:val="RTOWorksBodyText"/>
              <w:jc w:val="both"/>
              <w:rPr>
                <w:sz w:val="18"/>
                <w:szCs w:val="18"/>
              </w:rPr>
            </w:pPr>
            <w:r>
              <w:rPr>
                <w:noProof/>
                <w:sz w:val="18"/>
                <w:szCs w:val="18"/>
              </w:rPr>
              <w:t>Flexible learning (Covid-19)</w:t>
            </w:r>
          </w:p>
        </w:tc>
        <w:tc>
          <w:tcPr>
            <w:tcW w:w="3118" w:type="dxa"/>
            <w:vMerge/>
          </w:tcPr>
          <w:p w14:paraId="1AC00AE1" w14:textId="77777777" w:rsidR="003A0360" w:rsidRPr="008D0CB4" w:rsidRDefault="003A0360" w:rsidP="003A0360">
            <w:pPr>
              <w:jc w:val="both"/>
              <w:rPr>
                <w:sz w:val="18"/>
                <w:szCs w:val="18"/>
              </w:rPr>
            </w:pPr>
          </w:p>
        </w:tc>
      </w:tr>
      <w:tr w:rsidR="003A0360" w:rsidRPr="008D0CB4" w14:paraId="65C08936" w14:textId="77777777" w:rsidTr="003A0360">
        <w:tc>
          <w:tcPr>
            <w:tcW w:w="2405" w:type="dxa"/>
            <w:shd w:val="clear" w:color="auto" w:fill="2F5496" w:themeFill="accent1" w:themeFillShade="BF"/>
          </w:tcPr>
          <w:p w14:paraId="1C2EDD78" w14:textId="77777777" w:rsidR="003A0360" w:rsidRPr="00243739" w:rsidRDefault="003A0360" w:rsidP="003A0360">
            <w:pPr>
              <w:pStyle w:val="RTOWorksBodyText"/>
              <w:jc w:val="both"/>
              <w:rPr>
                <w:noProof/>
                <w:color w:val="FFFFFF" w:themeColor="background1"/>
                <w:sz w:val="18"/>
                <w:szCs w:val="18"/>
              </w:rPr>
            </w:pPr>
            <w:r w:rsidRPr="00243739">
              <w:rPr>
                <w:noProof/>
                <w:color w:val="FFFFFF" w:themeColor="background1"/>
                <w:sz w:val="18"/>
                <w:szCs w:val="18"/>
              </w:rPr>
              <w:t>Duration</w:t>
            </w:r>
          </w:p>
        </w:tc>
        <w:tc>
          <w:tcPr>
            <w:tcW w:w="3402" w:type="dxa"/>
            <w:shd w:val="clear" w:color="auto" w:fill="auto"/>
          </w:tcPr>
          <w:p w14:paraId="4CF2FC0A" w14:textId="299A0C6F" w:rsidR="003A0360" w:rsidRPr="005E48B3" w:rsidRDefault="00823C6E" w:rsidP="003A0360">
            <w:pPr>
              <w:pStyle w:val="RTOWorksBodyText"/>
              <w:jc w:val="both"/>
              <w:rPr>
                <w:sz w:val="18"/>
                <w:szCs w:val="18"/>
              </w:rPr>
            </w:pPr>
            <w:r>
              <w:rPr>
                <w:sz w:val="18"/>
                <w:szCs w:val="18"/>
              </w:rPr>
              <w:t>104</w:t>
            </w:r>
            <w:r w:rsidR="003A0360" w:rsidRPr="005E48B3">
              <w:rPr>
                <w:sz w:val="18"/>
                <w:szCs w:val="18"/>
              </w:rPr>
              <w:t xml:space="preserve"> weeks, including </w:t>
            </w:r>
            <w:r>
              <w:rPr>
                <w:sz w:val="18"/>
                <w:szCs w:val="18"/>
              </w:rPr>
              <w:t>88</w:t>
            </w:r>
            <w:r w:rsidR="003A0360" w:rsidRPr="005E48B3">
              <w:rPr>
                <w:sz w:val="18"/>
                <w:szCs w:val="18"/>
              </w:rPr>
              <w:t xml:space="preserve"> study weeks and </w:t>
            </w:r>
            <w:r>
              <w:rPr>
                <w:sz w:val="18"/>
                <w:szCs w:val="18"/>
              </w:rPr>
              <w:t>16</w:t>
            </w:r>
            <w:r w:rsidR="003A0360" w:rsidRPr="005E48B3">
              <w:rPr>
                <w:sz w:val="18"/>
                <w:szCs w:val="18"/>
              </w:rPr>
              <w:t xml:space="preserve"> weeks of holidays.</w:t>
            </w:r>
          </w:p>
        </w:tc>
        <w:tc>
          <w:tcPr>
            <w:tcW w:w="3118" w:type="dxa"/>
            <w:vMerge/>
          </w:tcPr>
          <w:p w14:paraId="20BBF55C" w14:textId="77777777" w:rsidR="003A0360" w:rsidRPr="008D0CB4" w:rsidRDefault="003A0360" w:rsidP="003A0360">
            <w:pPr>
              <w:jc w:val="both"/>
              <w:rPr>
                <w:sz w:val="18"/>
                <w:szCs w:val="18"/>
              </w:rPr>
            </w:pPr>
          </w:p>
        </w:tc>
      </w:tr>
      <w:tr w:rsidR="003A0360" w:rsidRPr="008D0CB4" w14:paraId="4DC1AA30" w14:textId="77777777" w:rsidTr="003A0360">
        <w:tc>
          <w:tcPr>
            <w:tcW w:w="2405" w:type="dxa"/>
            <w:shd w:val="clear" w:color="auto" w:fill="2F5496" w:themeFill="accent1" w:themeFillShade="BF"/>
          </w:tcPr>
          <w:p w14:paraId="265CBEB3" w14:textId="77777777" w:rsidR="003A0360" w:rsidRPr="00243739" w:rsidRDefault="003A0360" w:rsidP="003A0360">
            <w:pPr>
              <w:pStyle w:val="RTOWorksBodyText"/>
              <w:jc w:val="both"/>
              <w:rPr>
                <w:noProof/>
                <w:color w:val="FFFFFF" w:themeColor="background1"/>
                <w:sz w:val="18"/>
                <w:szCs w:val="18"/>
              </w:rPr>
            </w:pPr>
            <w:r w:rsidRPr="00243739">
              <w:rPr>
                <w:noProof/>
                <w:color w:val="FFFFFF" w:themeColor="background1"/>
                <w:sz w:val="18"/>
                <w:szCs w:val="18"/>
              </w:rPr>
              <w:t>Study load</w:t>
            </w:r>
          </w:p>
        </w:tc>
        <w:tc>
          <w:tcPr>
            <w:tcW w:w="3402" w:type="dxa"/>
            <w:shd w:val="clear" w:color="auto" w:fill="auto"/>
          </w:tcPr>
          <w:p w14:paraId="4F0CA9F3" w14:textId="77777777" w:rsidR="003A0360" w:rsidRPr="008D0CB4" w:rsidRDefault="003A0360" w:rsidP="003A0360">
            <w:pPr>
              <w:pStyle w:val="RTOWorksBodyText"/>
              <w:jc w:val="both"/>
              <w:rPr>
                <w:sz w:val="18"/>
                <w:szCs w:val="18"/>
              </w:rPr>
            </w:pPr>
            <w:r>
              <w:rPr>
                <w:sz w:val="18"/>
                <w:szCs w:val="18"/>
              </w:rPr>
              <w:t xml:space="preserve">20 </w:t>
            </w:r>
            <w:r w:rsidRPr="008D0CB4">
              <w:rPr>
                <w:sz w:val="18"/>
                <w:szCs w:val="18"/>
              </w:rPr>
              <w:t xml:space="preserve">hours </w:t>
            </w:r>
            <w:r>
              <w:rPr>
                <w:sz w:val="18"/>
                <w:szCs w:val="18"/>
              </w:rPr>
              <w:t>per</w:t>
            </w:r>
            <w:r w:rsidRPr="008D0CB4">
              <w:rPr>
                <w:sz w:val="18"/>
                <w:szCs w:val="18"/>
              </w:rPr>
              <w:t xml:space="preserve"> week in the classroom </w:t>
            </w:r>
          </w:p>
        </w:tc>
        <w:tc>
          <w:tcPr>
            <w:tcW w:w="3118" w:type="dxa"/>
            <w:vMerge/>
          </w:tcPr>
          <w:p w14:paraId="33E0AFB6" w14:textId="77777777" w:rsidR="003A0360" w:rsidRPr="008D0CB4" w:rsidRDefault="003A0360" w:rsidP="003A0360">
            <w:pPr>
              <w:jc w:val="both"/>
              <w:rPr>
                <w:sz w:val="18"/>
                <w:szCs w:val="18"/>
              </w:rPr>
            </w:pPr>
          </w:p>
        </w:tc>
      </w:tr>
      <w:tr w:rsidR="003A0360" w:rsidRPr="008D0CB4" w14:paraId="54158D8B" w14:textId="77777777" w:rsidTr="003A0360">
        <w:tc>
          <w:tcPr>
            <w:tcW w:w="2405" w:type="dxa"/>
            <w:shd w:val="clear" w:color="auto" w:fill="2F5496" w:themeFill="accent1" w:themeFillShade="BF"/>
          </w:tcPr>
          <w:p w14:paraId="19AAE1CF" w14:textId="77777777" w:rsidR="003A0360" w:rsidRPr="00243739" w:rsidRDefault="003A0360" w:rsidP="003A0360">
            <w:pPr>
              <w:pStyle w:val="RTOWorksBodyText"/>
              <w:jc w:val="both"/>
              <w:rPr>
                <w:noProof/>
                <w:color w:val="FFFFFF" w:themeColor="background1"/>
                <w:sz w:val="18"/>
                <w:szCs w:val="18"/>
              </w:rPr>
            </w:pPr>
            <w:r>
              <w:rPr>
                <w:noProof/>
                <w:color w:val="FFFFFF" w:themeColor="background1"/>
                <w:sz w:val="18"/>
                <w:szCs w:val="18"/>
              </w:rPr>
              <w:t>Estimated Self-Study Hours</w:t>
            </w:r>
          </w:p>
        </w:tc>
        <w:tc>
          <w:tcPr>
            <w:tcW w:w="3402" w:type="dxa"/>
            <w:shd w:val="clear" w:color="auto" w:fill="auto"/>
          </w:tcPr>
          <w:p w14:paraId="4BA58B07" w14:textId="77777777" w:rsidR="003A0360" w:rsidRDefault="003A0360" w:rsidP="003A0360">
            <w:pPr>
              <w:pStyle w:val="RTOWorksBodyText"/>
              <w:jc w:val="both"/>
              <w:rPr>
                <w:sz w:val="18"/>
                <w:szCs w:val="18"/>
              </w:rPr>
            </w:pPr>
            <w:r>
              <w:rPr>
                <w:sz w:val="18"/>
                <w:szCs w:val="18"/>
              </w:rPr>
              <w:t xml:space="preserve">5 hours per week </w:t>
            </w:r>
            <w:r w:rsidRPr="000013EE">
              <w:rPr>
                <w:i/>
                <w:iCs/>
                <w:sz w:val="16"/>
                <w:szCs w:val="16"/>
              </w:rPr>
              <w:t xml:space="preserve">(may be </w:t>
            </w:r>
            <w:proofErr w:type="gramStart"/>
            <w:r w:rsidRPr="000013EE">
              <w:rPr>
                <w:i/>
                <w:iCs/>
                <w:sz w:val="16"/>
                <w:szCs w:val="16"/>
              </w:rPr>
              <w:t>more or less depending</w:t>
            </w:r>
            <w:proofErr w:type="gramEnd"/>
            <w:r w:rsidRPr="000013EE">
              <w:rPr>
                <w:i/>
                <w:iCs/>
                <w:sz w:val="16"/>
                <w:szCs w:val="16"/>
              </w:rPr>
              <w:t xml:space="preserve"> on learner’s pre-existing skills and knowledge)</w:t>
            </w:r>
          </w:p>
        </w:tc>
        <w:tc>
          <w:tcPr>
            <w:tcW w:w="3118" w:type="dxa"/>
            <w:vMerge/>
          </w:tcPr>
          <w:p w14:paraId="28D37AAA" w14:textId="77777777" w:rsidR="003A0360" w:rsidRPr="008D0CB4" w:rsidRDefault="003A0360" w:rsidP="003A0360">
            <w:pPr>
              <w:jc w:val="both"/>
              <w:rPr>
                <w:sz w:val="18"/>
                <w:szCs w:val="18"/>
              </w:rPr>
            </w:pPr>
          </w:p>
        </w:tc>
      </w:tr>
    </w:tbl>
    <w:p w14:paraId="59B97BA8" w14:textId="77777777" w:rsidR="00943327" w:rsidRPr="00D1645D" w:rsidRDefault="00943327" w:rsidP="00943327">
      <w:pPr>
        <w:jc w:val="center"/>
        <w:rPr>
          <w:b/>
          <w:bCs/>
          <w:sz w:val="28"/>
          <w:szCs w:val="28"/>
        </w:rPr>
      </w:pPr>
    </w:p>
    <w:p w14:paraId="0DCE99F3" w14:textId="000DD4EE" w:rsidR="003A0360" w:rsidRDefault="003A0360" w:rsidP="00372ED8">
      <w:pPr>
        <w:jc w:val="both"/>
        <w:rPr>
          <w:b/>
          <w:bCs/>
        </w:rPr>
      </w:pPr>
      <w:r>
        <w:rPr>
          <w:b/>
          <w:bCs/>
        </w:rPr>
        <w:t xml:space="preserve">Total Course Fee: AUD </w:t>
      </w:r>
      <w:r w:rsidR="004920CA">
        <w:rPr>
          <w:b/>
          <w:bCs/>
        </w:rPr>
        <w:t>32</w:t>
      </w:r>
      <w:r>
        <w:rPr>
          <w:b/>
          <w:bCs/>
        </w:rPr>
        <w:t>,</w:t>
      </w:r>
      <w:r w:rsidR="004920CA">
        <w:rPr>
          <w:b/>
          <w:bCs/>
        </w:rPr>
        <w:t>0</w:t>
      </w:r>
      <w:r>
        <w:rPr>
          <w:b/>
          <w:bCs/>
        </w:rPr>
        <w:t>00</w:t>
      </w:r>
    </w:p>
    <w:p w14:paraId="72303682" w14:textId="17CD3065" w:rsidR="003A0360" w:rsidRDefault="003A0360" w:rsidP="00372ED8">
      <w:pPr>
        <w:jc w:val="both"/>
        <w:rPr>
          <w:b/>
          <w:bCs/>
        </w:rPr>
      </w:pPr>
      <w:r>
        <w:rPr>
          <w:b/>
          <w:bCs/>
        </w:rPr>
        <w:t xml:space="preserve">Tuition Fee: AUD </w:t>
      </w:r>
      <w:r w:rsidR="004920CA">
        <w:rPr>
          <w:b/>
          <w:bCs/>
        </w:rPr>
        <w:t>3</w:t>
      </w:r>
      <w:r w:rsidR="00BF06F3">
        <w:rPr>
          <w:b/>
          <w:bCs/>
        </w:rPr>
        <w:t>0</w:t>
      </w:r>
      <w:r>
        <w:rPr>
          <w:b/>
          <w:bCs/>
        </w:rPr>
        <w:t>,000</w:t>
      </w:r>
    </w:p>
    <w:p w14:paraId="5279DBFB" w14:textId="78EB4FA0" w:rsidR="003A0360" w:rsidRDefault="003A0360" w:rsidP="00372ED8">
      <w:pPr>
        <w:jc w:val="both"/>
        <w:rPr>
          <w:b/>
          <w:bCs/>
        </w:rPr>
      </w:pPr>
      <w:r>
        <w:rPr>
          <w:b/>
          <w:bCs/>
        </w:rPr>
        <w:t xml:space="preserve">Material Fee: AUD </w:t>
      </w:r>
      <w:r w:rsidR="004920CA">
        <w:rPr>
          <w:b/>
          <w:bCs/>
        </w:rPr>
        <w:t>1750</w:t>
      </w:r>
    </w:p>
    <w:p w14:paraId="7627F750" w14:textId="5AA6DD15" w:rsidR="003A0360" w:rsidRDefault="00045376" w:rsidP="00372ED8">
      <w:pPr>
        <w:jc w:val="both"/>
        <w:rPr>
          <w:b/>
          <w:bCs/>
        </w:rPr>
      </w:pPr>
      <w:r>
        <w:rPr>
          <w:b/>
          <w:bCs/>
        </w:rPr>
        <w:t>Application</w:t>
      </w:r>
      <w:r w:rsidR="003A0360">
        <w:rPr>
          <w:b/>
          <w:bCs/>
        </w:rPr>
        <w:t xml:space="preserve"> Fee: AUD 250 (non-refundable)</w:t>
      </w:r>
    </w:p>
    <w:p w14:paraId="4E7C4984" w14:textId="134EA229" w:rsidR="00045376" w:rsidRDefault="00045376" w:rsidP="00372ED8">
      <w:pPr>
        <w:jc w:val="both"/>
        <w:rPr>
          <w:b/>
          <w:bCs/>
        </w:rPr>
      </w:pPr>
      <w:r>
        <w:rPr>
          <w:rFonts w:ascii="OpenSansLight" w:eastAsia="Times New Roman" w:hAnsi="OpenSansLight" w:cs="Times New Roman"/>
          <w:i/>
          <w:iCs/>
          <w:color w:val="2B353A"/>
          <w:sz w:val="16"/>
          <w:szCs w:val="16"/>
        </w:rPr>
        <w:t xml:space="preserve">(Application fee is non-refundable under all circumstances. Please refer to </w:t>
      </w:r>
      <w:r w:rsidR="00532F4F">
        <w:rPr>
          <w:rFonts w:ascii="OpenSansLight" w:eastAsia="Times New Roman" w:hAnsi="OpenSansLight" w:cs="Times New Roman"/>
          <w:i/>
          <w:iCs/>
          <w:color w:val="2B353A"/>
          <w:sz w:val="16"/>
          <w:szCs w:val="16"/>
        </w:rPr>
        <w:t>GET Education Australia</w:t>
      </w:r>
      <w:r>
        <w:rPr>
          <w:rFonts w:ascii="OpenSansLight" w:eastAsia="Times New Roman" w:hAnsi="OpenSansLight" w:cs="Times New Roman"/>
          <w:i/>
          <w:iCs/>
          <w:color w:val="2B353A"/>
          <w:sz w:val="16"/>
          <w:szCs w:val="16"/>
        </w:rPr>
        <w:t>’s refund policy and procedure for further details)</w:t>
      </w:r>
    </w:p>
    <w:p w14:paraId="0E858DFE" w14:textId="13B732AF" w:rsidR="00520885" w:rsidRDefault="00255463" w:rsidP="006B130F">
      <w:pPr>
        <w:spacing w:after="0"/>
        <w:jc w:val="both"/>
        <w:rPr>
          <w:b/>
          <w:bCs/>
        </w:rPr>
      </w:pPr>
      <w:r>
        <w:rPr>
          <w:b/>
          <w:bCs/>
        </w:rPr>
        <w:t>CPC50220 Diploma of Building and Construction (Building)</w:t>
      </w:r>
    </w:p>
    <w:p w14:paraId="193D8DD7" w14:textId="77777777" w:rsidR="004920CA" w:rsidRDefault="004920CA" w:rsidP="00C65C3C">
      <w:pPr>
        <w:spacing w:after="0" w:line="276" w:lineRule="auto"/>
        <w:contextualSpacing/>
        <w:jc w:val="both"/>
        <w:rPr>
          <w:b/>
          <w:bCs/>
          <w:sz w:val="18"/>
          <w:szCs w:val="18"/>
        </w:rPr>
      </w:pPr>
    </w:p>
    <w:p w14:paraId="358CB3DD" w14:textId="74638D8B" w:rsidR="00004AC8" w:rsidRDefault="00004AC8" w:rsidP="00004AC8">
      <w:pPr>
        <w:jc w:val="both"/>
      </w:pPr>
      <w:r>
        <w:t xml:space="preserve">This qualification reflects the role of building professionals who apply knowledge of structural principles, </w:t>
      </w:r>
      <w:proofErr w:type="gramStart"/>
      <w:r>
        <w:t>risk</w:t>
      </w:r>
      <w:proofErr w:type="gramEnd"/>
      <w:r>
        <w:t xml:space="preserve"> and financial management, estimating, preparing and administering building and construction contracts, selecting contractors, overseeing the work and its quality and managing construction work in building projects including residential and commercial with the following limitations:</w:t>
      </w:r>
    </w:p>
    <w:p w14:paraId="71DCFD19" w14:textId="77777777" w:rsidR="00004AC8" w:rsidRDefault="00004AC8" w:rsidP="00004AC8">
      <w:pPr>
        <w:pStyle w:val="ListParagraph"/>
        <w:numPr>
          <w:ilvl w:val="0"/>
          <w:numId w:val="30"/>
        </w:numPr>
        <w:jc w:val="both"/>
      </w:pPr>
      <w:r>
        <w:t>Residential construction limited to National Construction Code Class 1 and 10 buildings to a maximum of 3 storeys.</w:t>
      </w:r>
    </w:p>
    <w:p w14:paraId="45E6A3CA" w14:textId="77777777" w:rsidR="00004AC8" w:rsidRDefault="00004AC8" w:rsidP="00004AC8">
      <w:pPr>
        <w:pStyle w:val="ListParagraph"/>
        <w:numPr>
          <w:ilvl w:val="0"/>
          <w:numId w:val="30"/>
        </w:numPr>
        <w:jc w:val="both"/>
      </w:pPr>
      <w:r>
        <w:t>Commercial construction limited to National Construction Code Class 2 to 9 buildings, Type C and B construction.</w:t>
      </w:r>
    </w:p>
    <w:p w14:paraId="3C265207" w14:textId="77777777" w:rsidR="00004AC8" w:rsidRPr="00004AC8" w:rsidRDefault="00004AC8" w:rsidP="00004AC8">
      <w:pPr>
        <w:jc w:val="both"/>
        <w:rPr>
          <w:i/>
          <w:iCs/>
        </w:rPr>
      </w:pPr>
      <w:r w:rsidRPr="00004AC8">
        <w:rPr>
          <w:i/>
          <w:iCs/>
        </w:rPr>
        <w:lastRenderedPageBreak/>
        <w:t>Occupational titles may include:</w:t>
      </w:r>
    </w:p>
    <w:p w14:paraId="2525A1A0" w14:textId="77777777" w:rsidR="00004AC8" w:rsidRDefault="00004AC8" w:rsidP="00004AC8">
      <w:pPr>
        <w:pStyle w:val="ListParagraph"/>
        <w:numPr>
          <w:ilvl w:val="0"/>
          <w:numId w:val="31"/>
        </w:numPr>
        <w:jc w:val="both"/>
      </w:pPr>
      <w:r>
        <w:t>Builder</w:t>
      </w:r>
    </w:p>
    <w:p w14:paraId="2FB62AC0" w14:textId="77777777" w:rsidR="00004AC8" w:rsidRDefault="00004AC8" w:rsidP="00004AC8">
      <w:pPr>
        <w:pStyle w:val="ListParagraph"/>
        <w:numPr>
          <w:ilvl w:val="0"/>
          <w:numId w:val="31"/>
        </w:numPr>
        <w:jc w:val="both"/>
      </w:pPr>
      <w:r>
        <w:t>General Foreperson</w:t>
      </w:r>
    </w:p>
    <w:p w14:paraId="7A92E75B" w14:textId="77777777" w:rsidR="00004AC8" w:rsidRDefault="00004AC8" w:rsidP="00004AC8">
      <w:pPr>
        <w:pStyle w:val="ListParagraph"/>
        <w:numPr>
          <w:ilvl w:val="0"/>
          <w:numId w:val="31"/>
        </w:numPr>
        <w:jc w:val="both"/>
      </w:pPr>
      <w:r>
        <w:t>Building Inspector</w:t>
      </w:r>
    </w:p>
    <w:p w14:paraId="70C28591" w14:textId="77777777" w:rsidR="00004AC8" w:rsidRDefault="00004AC8" w:rsidP="00004AC8">
      <w:pPr>
        <w:jc w:val="both"/>
      </w:pPr>
      <w:r>
        <w:t>The construction industry strongly affirms that training and assessment leading to recognition of skills must be undertaken in a real or very closely simulated workplace environment. To achieve this qualification, the candidate must have access to a live building and construction workplace to meet the requirements detailed in the Assessment Requirements of core unit CPCCBC4008 Supervise communication and administration processes for building and construction projects.</w:t>
      </w:r>
    </w:p>
    <w:p w14:paraId="718B0116" w14:textId="77777777" w:rsidR="00004AC8" w:rsidRDefault="00004AC8" w:rsidP="00004AC8">
      <w:pPr>
        <w:jc w:val="both"/>
      </w:pPr>
      <w:r>
        <w:t>Completion of the general construction induction training program specified by the model Code of Practice for Construction Work is required for any person who is to carry out construction work. Achievement of unit CPCCWHS1001 Prepare to work safely in the construction industry meets this requirement.</w:t>
      </w:r>
    </w:p>
    <w:p w14:paraId="59C87CB4" w14:textId="626C6B77" w:rsidR="00790847" w:rsidRDefault="00004AC8" w:rsidP="00004AC8">
      <w:pPr>
        <w:jc w:val="both"/>
      </w:pPr>
      <w:r>
        <w:t>Builder licensing varies across States and Territories and requirements additional to the attainment of this qualification may be required</w:t>
      </w:r>
      <w:r w:rsidR="00790847">
        <w:t>.</w:t>
      </w:r>
    </w:p>
    <w:p w14:paraId="19006DE2" w14:textId="21060080" w:rsidR="008E46AE" w:rsidRDefault="007A19FB" w:rsidP="00372ED8">
      <w:pPr>
        <w:jc w:val="both"/>
        <w:rPr>
          <w:b/>
          <w:bCs/>
        </w:rPr>
      </w:pPr>
      <w:r>
        <w:rPr>
          <w:b/>
          <w:bCs/>
        </w:rPr>
        <w:t xml:space="preserve">Live Site Access for </w:t>
      </w:r>
      <w:r w:rsidR="008E46AE">
        <w:rPr>
          <w:b/>
          <w:bCs/>
        </w:rPr>
        <w:t xml:space="preserve">the </w:t>
      </w:r>
      <w:r w:rsidR="00A646FD">
        <w:rPr>
          <w:b/>
          <w:bCs/>
        </w:rPr>
        <w:t>U</w:t>
      </w:r>
      <w:r w:rsidR="008E46AE">
        <w:rPr>
          <w:b/>
          <w:bCs/>
        </w:rPr>
        <w:t xml:space="preserve">nit of Competency CPCCBC4008 </w:t>
      </w:r>
      <w:r w:rsidR="00A646FD" w:rsidRPr="00A646FD">
        <w:rPr>
          <w:b/>
          <w:bCs/>
        </w:rPr>
        <w:t>Supervise site communication and administration processes for building and construction projects</w:t>
      </w:r>
    </w:p>
    <w:p w14:paraId="0D76AE92" w14:textId="77777777" w:rsidR="008E46AE" w:rsidRPr="008E46AE" w:rsidRDefault="008E46AE" w:rsidP="008E46AE">
      <w:pPr>
        <w:jc w:val="both"/>
      </w:pPr>
      <w:r w:rsidRPr="008E46AE">
        <w:t xml:space="preserve">This unit of competency specifies the skills and knowledge required to supervise site communications, </w:t>
      </w:r>
      <w:proofErr w:type="gramStart"/>
      <w:r w:rsidRPr="008E46AE">
        <w:t>monitor</w:t>
      </w:r>
      <w:proofErr w:type="gramEnd"/>
      <w:r w:rsidRPr="008E46AE">
        <w:t xml:space="preserve"> and maintain compliance with codes and standards and implement project administration processes on a building and construction project.</w:t>
      </w:r>
    </w:p>
    <w:p w14:paraId="55806561" w14:textId="44919E99" w:rsidR="008E46AE" w:rsidRPr="008E46AE" w:rsidRDefault="00A646FD" w:rsidP="008E46AE">
      <w:pPr>
        <w:jc w:val="both"/>
      </w:pPr>
      <w:r>
        <w:t xml:space="preserve">The student must have </w:t>
      </w:r>
      <w:proofErr w:type="gramStart"/>
      <w:r>
        <w:t>a</w:t>
      </w:r>
      <w:proofErr w:type="gramEnd"/>
      <w:r>
        <w:t xml:space="preserve"> access to the live site </w:t>
      </w:r>
      <w:r w:rsidR="008E46AE" w:rsidRPr="008E46AE">
        <w:t>as specified in the performance evidence</w:t>
      </w:r>
      <w:r w:rsidR="000B5ABD">
        <w:t xml:space="preserve"> of the unit. Further details can be obtained from “Live Site Access Agreement”</w:t>
      </w:r>
      <w:r w:rsidR="00953CAF">
        <w:t xml:space="preserve">. </w:t>
      </w:r>
    </w:p>
    <w:p w14:paraId="39BE23AA" w14:textId="77777777" w:rsidR="008E46AE" w:rsidRPr="008E46AE" w:rsidRDefault="008E46AE" w:rsidP="008E46AE">
      <w:pPr>
        <w:jc w:val="both"/>
      </w:pPr>
      <w:r w:rsidRPr="008E46AE">
        <w:t>This unit of competency specifies the skills and knowledge required to supervise the administration of quality control compliance and the use of site communications and record keeping systems; and conduct onsite inspections to complete the required project administration processes.</w:t>
      </w:r>
    </w:p>
    <w:p w14:paraId="79071DD5" w14:textId="77777777" w:rsidR="008E46AE" w:rsidRPr="008E46AE" w:rsidRDefault="008E46AE" w:rsidP="008E46AE">
      <w:pPr>
        <w:jc w:val="both"/>
      </w:pPr>
      <w:r w:rsidRPr="008E46AE">
        <w:t>This unit applies to National Construction Code (NCC) classifications:</w:t>
      </w:r>
    </w:p>
    <w:p w14:paraId="0DC5BBC8" w14:textId="77777777" w:rsidR="008E46AE" w:rsidRPr="008E46AE" w:rsidRDefault="008E46AE" w:rsidP="00E53B91">
      <w:pPr>
        <w:pStyle w:val="ListParagraph"/>
        <w:numPr>
          <w:ilvl w:val="0"/>
          <w:numId w:val="32"/>
        </w:numPr>
        <w:jc w:val="both"/>
      </w:pPr>
      <w:r w:rsidRPr="008E46AE">
        <w:t>Residential - Class 1 buildings to a maximum of two storeys</w:t>
      </w:r>
    </w:p>
    <w:p w14:paraId="75C1980F" w14:textId="77777777" w:rsidR="008E46AE" w:rsidRPr="008E46AE" w:rsidRDefault="008E46AE" w:rsidP="00E53B91">
      <w:pPr>
        <w:pStyle w:val="ListParagraph"/>
        <w:numPr>
          <w:ilvl w:val="0"/>
          <w:numId w:val="32"/>
        </w:numPr>
        <w:jc w:val="both"/>
      </w:pPr>
      <w:r w:rsidRPr="008E46AE">
        <w:t>Commercial - NCC Class 2 to 9, Type C only constructions.</w:t>
      </w:r>
    </w:p>
    <w:p w14:paraId="4AA6D603" w14:textId="2D68E0CD" w:rsidR="00E53B91" w:rsidRPr="00630C17" w:rsidRDefault="00E53B91" w:rsidP="00E53B91">
      <w:pPr>
        <w:spacing w:beforeLines="60" w:before="144" w:afterLines="60" w:after="144"/>
        <w:jc w:val="both"/>
      </w:pPr>
      <w:r>
        <w:t>GET Education Australia</w:t>
      </w:r>
      <w:r w:rsidRPr="00630C17">
        <w:t xml:space="preserve"> will </w:t>
      </w:r>
      <w:r>
        <w:t xml:space="preserve">make every possible attempt to </w:t>
      </w:r>
      <w:r w:rsidRPr="00630C17">
        <w:t xml:space="preserve">secure </w:t>
      </w:r>
      <w:r>
        <w:t xml:space="preserve">access to the live site for all </w:t>
      </w:r>
      <w:r w:rsidR="00CA0E48">
        <w:t xml:space="preserve">students, however students will also be encouraged to make their own arrangements </w:t>
      </w:r>
      <w:r w:rsidR="00E347F1">
        <w:t>in accordance with the requirements of the “Live Site Access Agreement”</w:t>
      </w:r>
      <w:r w:rsidR="005E1A86">
        <w:t>.</w:t>
      </w:r>
      <w:r w:rsidRPr="00630C17">
        <w:t xml:space="preserve"> </w:t>
      </w:r>
    </w:p>
    <w:p w14:paraId="7D6CFEC9" w14:textId="52E738DB" w:rsidR="00E53B91" w:rsidRDefault="00E53B91" w:rsidP="006F15A6">
      <w:pPr>
        <w:pStyle w:val="NormalWeb"/>
        <w:shd w:val="clear" w:color="auto" w:fill="FFFFFF"/>
        <w:spacing w:before="0" w:beforeAutospacing="0"/>
        <w:jc w:val="both"/>
        <w:rPr>
          <w:rFonts w:asciiTheme="minorHAnsi" w:eastAsiaTheme="minorHAnsi" w:hAnsiTheme="minorHAnsi" w:cstheme="minorBidi"/>
          <w:sz w:val="22"/>
          <w:szCs w:val="22"/>
          <w:lang w:eastAsia="en-US"/>
        </w:rPr>
      </w:pPr>
      <w:r w:rsidRPr="00092A0B">
        <w:rPr>
          <w:rFonts w:asciiTheme="minorHAnsi" w:eastAsiaTheme="minorHAnsi" w:hAnsiTheme="minorHAnsi" w:cstheme="minorBidi"/>
          <w:sz w:val="22"/>
          <w:szCs w:val="22"/>
          <w:lang w:eastAsia="en-US"/>
        </w:rPr>
        <w:t xml:space="preserve">Student who are already working in the </w:t>
      </w:r>
      <w:r w:rsidR="00AB3532">
        <w:rPr>
          <w:rFonts w:asciiTheme="minorHAnsi" w:eastAsiaTheme="minorHAnsi" w:hAnsiTheme="minorHAnsi" w:cstheme="minorBidi"/>
          <w:sz w:val="22"/>
          <w:szCs w:val="22"/>
          <w:lang w:eastAsia="en-US"/>
        </w:rPr>
        <w:t xml:space="preserve">building and </w:t>
      </w:r>
      <w:r w:rsidR="006F15A6">
        <w:rPr>
          <w:rFonts w:asciiTheme="minorHAnsi" w:eastAsiaTheme="minorHAnsi" w:hAnsiTheme="minorHAnsi" w:cstheme="minorBidi"/>
          <w:sz w:val="22"/>
          <w:szCs w:val="22"/>
          <w:lang w:eastAsia="en-US"/>
        </w:rPr>
        <w:t xml:space="preserve">construction industry </w:t>
      </w:r>
      <w:r w:rsidRPr="00092A0B">
        <w:rPr>
          <w:rFonts w:asciiTheme="minorHAnsi" w:eastAsiaTheme="minorHAnsi" w:hAnsiTheme="minorHAnsi" w:cstheme="minorBidi"/>
          <w:sz w:val="22"/>
          <w:szCs w:val="22"/>
          <w:lang w:eastAsia="en-US"/>
        </w:rPr>
        <w:t xml:space="preserve">are encouraged to use their existing workplace to </w:t>
      </w:r>
      <w:r w:rsidR="00AB3532">
        <w:rPr>
          <w:rFonts w:asciiTheme="minorHAnsi" w:eastAsiaTheme="minorHAnsi" w:hAnsiTheme="minorHAnsi" w:cstheme="minorBidi"/>
          <w:sz w:val="22"/>
          <w:szCs w:val="22"/>
          <w:lang w:eastAsia="en-US"/>
        </w:rPr>
        <w:t xml:space="preserve">gain access to live sites, </w:t>
      </w:r>
      <w:r w:rsidRPr="00092A0B">
        <w:rPr>
          <w:rFonts w:asciiTheme="minorHAnsi" w:eastAsiaTheme="minorHAnsi" w:hAnsiTheme="minorHAnsi" w:cstheme="minorBidi"/>
          <w:sz w:val="22"/>
          <w:szCs w:val="22"/>
          <w:lang w:eastAsia="en-US"/>
        </w:rPr>
        <w:t xml:space="preserve">providing it meets the </w:t>
      </w:r>
      <w:r w:rsidR="003C5EDF" w:rsidRPr="00092A0B">
        <w:rPr>
          <w:rFonts w:asciiTheme="minorHAnsi" w:eastAsiaTheme="minorHAnsi" w:hAnsiTheme="minorHAnsi" w:cstheme="minorBidi"/>
          <w:sz w:val="22"/>
          <w:szCs w:val="22"/>
          <w:lang w:eastAsia="en-US"/>
        </w:rPr>
        <w:t>requirements</w:t>
      </w:r>
      <w:r w:rsidRPr="00092A0B">
        <w:rPr>
          <w:rFonts w:asciiTheme="minorHAnsi" w:eastAsiaTheme="minorHAnsi" w:hAnsiTheme="minorHAnsi" w:cstheme="minorBidi"/>
          <w:sz w:val="22"/>
          <w:szCs w:val="22"/>
          <w:lang w:eastAsia="en-US"/>
        </w:rPr>
        <w:t xml:space="preserve"> </w:t>
      </w:r>
      <w:r w:rsidR="00AB3532">
        <w:rPr>
          <w:rFonts w:asciiTheme="minorHAnsi" w:eastAsiaTheme="minorHAnsi" w:hAnsiTheme="minorHAnsi" w:cstheme="minorBidi"/>
          <w:sz w:val="22"/>
          <w:szCs w:val="22"/>
          <w:lang w:eastAsia="en-US"/>
        </w:rPr>
        <w:t xml:space="preserve">as </w:t>
      </w:r>
      <w:r w:rsidR="003C5EDF">
        <w:rPr>
          <w:rFonts w:asciiTheme="minorHAnsi" w:eastAsiaTheme="minorHAnsi" w:hAnsiTheme="minorHAnsi" w:cstheme="minorBidi"/>
          <w:sz w:val="22"/>
          <w:szCs w:val="22"/>
          <w:lang w:eastAsia="en-US"/>
        </w:rPr>
        <w:t>specified</w:t>
      </w:r>
      <w:r w:rsidR="00AB3532">
        <w:rPr>
          <w:rFonts w:asciiTheme="minorHAnsi" w:eastAsiaTheme="minorHAnsi" w:hAnsiTheme="minorHAnsi" w:cstheme="minorBidi"/>
          <w:sz w:val="22"/>
          <w:szCs w:val="22"/>
          <w:lang w:eastAsia="en-US"/>
        </w:rPr>
        <w:t xml:space="preserve"> in the performance evidence</w:t>
      </w:r>
      <w:r w:rsidR="003C5EDF">
        <w:rPr>
          <w:rFonts w:asciiTheme="minorHAnsi" w:eastAsiaTheme="minorHAnsi" w:hAnsiTheme="minorHAnsi" w:cstheme="minorBidi"/>
          <w:sz w:val="22"/>
          <w:szCs w:val="22"/>
          <w:lang w:eastAsia="en-US"/>
        </w:rPr>
        <w:t xml:space="preserve"> of the unit of competency</w:t>
      </w:r>
      <w:r w:rsidRPr="00092A0B">
        <w:rPr>
          <w:rFonts w:asciiTheme="minorHAnsi" w:eastAsiaTheme="minorHAnsi" w:hAnsiTheme="minorHAnsi" w:cstheme="minorBidi"/>
          <w:sz w:val="22"/>
          <w:szCs w:val="22"/>
          <w:lang w:eastAsia="en-US"/>
        </w:rPr>
        <w:t>. Students who are not already working may nominate a workplace</w:t>
      </w:r>
      <w:r>
        <w:rPr>
          <w:rFonts w:asciiTheme="minorHAnsi" w:eastAsiaTheme="minorHAnsi" w:hAnsiTheme="minorHAnsi" w:cstheme="minorBidi"/>
          <w:sz w:val="22"/>
          <w:szCs w:val="22"/>
          <w:lang w:eastAsia="en-US"/>
        </w:rPr>
        <w:t>.</w:t>
      </w:r>
    </w:p>
    <w:p w14:paraId="0DAB6C19" w14:textId="408443E7" w:rsidR="008444F7" w:rsidRPr="00630C17" w:rsidRDefault="008444F7" w:rsidP="00372ED8">
      <w:pPr>
        <w:jc w:val="both"/>
        <w:rPr>
          <w:b/>
          <w:bCs/>
        </w:rPr>
      </w:pPr>
      <w:r w:rsidRPr="00630C17">
        <w:rPr>
          <w:b/>
          <w:bCs/>
        </w:rPr>
        <w:t>Course Entry Requirements:</w:t>
      </w:r>
    </w:p>
    <w:p w14:paraId="64F6B13E" w14:textId="55098DC4" w:rsidR="00E32318" w:rsidRPr="00E32318" w:rsidRDefault="00E32318" w:rsidP="00E32318">
      <w:pPr>
        <w:jc w:val="both"/>
      </w:pPr>
      <w:bookmarkStart w:id="1" w:name="_Hlk37766857"/>
      <w:bookmarkStart w:id="2" w:name="_Hlk53176866"/>
      <w:r w:rsidRPr="00E32318">
        <w:t xml:space="preserve">There is no pre-requisites or specific entry requirement for this qualification. This course is available to all </w:t>
      </w:r>
      <w:r w:rsidR="005039A3">
        <w:t>international</w:t>
      </w:r>
      <w:r w:rsidRPr="00E32318">
        <w:t xml:space="preserve"> students and </w:t>
      </w:r>
      <w:r w:rsidR="00532F4F">
        <w:t>GET Education Australia</w:t>
      </w:r>
      <w:r w:rsidRPr="00E32318">
        <w:t xml:space="preserve"> requires that students </w:t>
      </w:r>
      <w:proofErr w:type="gramStart"/>
      <w:r w:rsidRPr="00E32318">
        <w:t>are able to</w:t>
      </w:r>
      <w:proofErr w:type="gramEnd"/>
      <w:r w:rsidRPr="00E32318">
        <w:t xml:space="preserve"> provide evidence that they:</w:t>
      </w:r>
    </w:p>
    <w:bookmarkEnd w:id="1"/>
    <w:p w14:paraId="45CF41E6" w14:textId="419C256D" w:rsidR="009A1ED4" w:rsidRPr="009A1ED4" w:rsidRDefault="009A1ED4" w:rsidP="009A1ED4">
      <w:pPr>
        <w:numPr>
          <w:ilvl w:val="0"/>
          <w:numId w:val="9"/>
        </w:numPr>
        <w:spacing w:after="0" w:line="276" w:lineRule="auto"/>
        <w:contextualSpacing/>
        <w:jc w:val="both"/>
        <w:rPr>
          <w:rFonts w:ascii="Calibri" w:hAnsi="Calibri" w:cs="Calibri"/>
        </w:rPr>
      </w:pPr>
      <w:r w:rsidRPr="009A1ED4">
        <w:rPr>
          <w:rFonts w:ascii="Calibri" w:hAnsi="Calibri" w:cs="Calibri"/>
        </w:rPr>
        <w:lastRenderedPageBreak/>
        <w:t>Have demonstrated an IELTS level at score of least 5.5 or equivalent (test results must be no more than 2 years old) or demonstration of successful completion of at least General English at Upper Intermediate or English for Academic Purposes Upper Intermediate level.</w:t>
      </w:r>
    </w:p>
    <w:p w14:paraId="3B1FED0C" w14:textId="77777777" w:rsidR="009A1ED4" w:rsidRPr="009A1ED4" w:rsidRDefault="009A1ED4" w:rsidP="009A1ED4">
      <w:pPr>
        <w:numPr>
          <w:ilvl w:val="0"/>
          <w:numId w:val="9"/>
        </w:numPr>
        <w:spacing w:after="0" w:line="276" w:lineRule="auto"/>
        <w:contextualSpacing/>
        <w:jc w:val="both"/>
        <w:rPr>
          <w:rFonts w:ascii="Calibri" w:hAnsi="Calibri" w:cs="Calibri"/>
        </w:rPr>
      </w:pPr>
      <w:r w:rsidRPr="009A1ED4">
        <w:rPr>
          <w:rFonts w:ascii="Calibri" w:hAnsi="Calibri" w:cs="Calibri"/>
        </w:rPr>
        <w:t xml:space="preserve">Have a suitable level of language, </w:t>
      </w:r>
      <w:proofErr w:type="gramStart"/>
      <w:r w:rsidRPr="009A1ED4">
        <w:rPr>
          <w:rFonts w:ascii="Calibri" w:hAnsi="Calibri" w:cs="Calibri"/>
        </w:rPr>
        <w:t>literacy</w:t>
      </w:r>
      <w:proofErr w:type="gramEnd"/>
      <w:r w:rsidRPr="009A1ED4">
        <w:rPr>
          <w:rFonts w:ascii="Calibri" w:hAnsi="Calibri" w:cs="Calibri"/>
        </w:rPr>
        <w:t xml:space="preserve"> and numeracy to complete course requirements with or without additional support that Get Education Australia is able to provide.</w:t>
      </w:r>
    </w:p>
    <w:p w14:paraId="62079E77" w14:textId="772CFF9B" w:rsidR="00054BD2" w:rsidRDefault="00054BD2" w:rsidP="009A1ED4">
      <w:pPr>
        <w:numPr>
          <w:ilvl w:val="0"/>
          <w:numId w:val="9"/>
        </w:numPr>
        <w:spacing w:after="0" w:line="276" w:lineRule="auto"/>
        <w:contextualSpacing/>
        <w:jc w:val="both"/>
        <w:rPr>
          <w:rFonts w:ascii="Calibri" w:hAnsi="Calibri" w:cs="Calibri"/>
        </w:rPr>
      </w:pPr>
      <w:r>
        <w:rPr>
          <w:rFonts w:ascii="Calibri" w:hAnsi="Calibri" w:cs="Calibri"/>
        </w:rPr>
        <w:t>Must be a proficient user of advanced</w:t>
      </w:r>
      <w:r w:rsidR="000B2E27">
        <w:rPr>
          <w:rFonts w:ascii="Calibri" w:hAnsi="Calibri" w:cs="Calibri"/>
        </w:rPr>
        <w:t xml:space="preserve"> </w:t>
      </w:r>
      <w:r>
        <w:rPr>
          <w:rFonts w:ascii="Calibri" w:hAnsi="Calibri" w:cs="Calibri"/>
        </w:rPr>
        <w:t>calculators.</w:t>
      </w:r>
    </w:p>
    <w:p w14:paraId="52D5ACB1" w14:textId="5DB41E9F" w:rsidR="009A1ED4" w:rsidRPr="009A1ED4" w:rsidRDefault="009A1ED4" w:rsidP="009A1ED4">
      <w:pPr>
        <w:numPr>
          <w:ilvl w:val="0"/>
          <w:numId w:val="9"/>
        </w:numPr>
        <w:spacing w:after="0" w:line="276" w:lineRule="auto"/>
        <w:contextualSpacing/>
        <w:jc w:val="both"/>
        <w:rPr>
          <w:rFonts w:ascii="Calibri" w:hAnsi="Calibri" w:cs="Calibri"/>
        </w:rPr>
      </w:pPr>
      <w:r w:rsidRPr="009A1ED4">
        <w:rPr>
          <w:rFonts w:ascii="Calibri" w:hAnsi="Calibri" w:cs="Calibri"/>
        </w:rPr>
        <w:t>Have successfully completed Australian year 1</w:t>
      </w:r>
      <w:r w:rsidR="00642754">
        <w:rPr>
          <w:rFonts w:ascii="Calibri" w:hAnsi="Calibri" w:cs="Calibri"/>
        </w:rPr>
        <w:t>2</w:t>
      </w:r>
      <w:r w:rsidRPr="009A1ED4">
        <w:rPr>
          <w:rFonts w:ascii="Calibri" w:hAnsi="Calibri" w:cs="Calibri"/>
        </w:rPr>
        <w:t xml:space="preserve"> or equivalent</w:t>
      </w:r>
      <w:r w:rsidR="00642754">
        <w:rPr>
          <w:rFonts w:ascii="Calibri" w:hAnsi="Calibri" w:cs="Calibri"/>
        </w:rPr>
        <w:t xml:space="preserve"> or </w:t>
      </w:r>
      <w:r w:rsidR="00054BD2">
        <w:rPr>
          <w:rFonts w:ascii="Calibri" w:hAnsi="Calibri" w:cs="Calibri"/>
        </w:rPr>
        <w:t>must be of matured age with adequate LLN skills.</w:t>
      </w:r>
    </w:p>
    <w:p w14:paraId="6A4ED924" w14:textId="77777777" w:rsidR="009A1ED4" w:rsidRPr="009A1ED4" w:rsidRDefault="009A1ED4" w:rsidP="009A1ED4">
      <w:pPr>
        <w:numPr>
          <w:ilvl w:val="0"/>
          <w:numId w:val="9"/>
        </w:numPr>
        <w:spacing w:after="0" w:line="276" w:lineRule="auto"/>
        <w:contextualSpacing/>
        <w:jc w:val="both"/>
        <w:rPr>
          <w:rFonts w:ascii="Calibri" w:hAnsi="Calibri" w:cs="Calibri"/>
        </w:rPr>
      </w:pPr>
      <w:r w:rsidRPr="009A1ED4">
        <w:rPr>
          <w:rFonts w:ascii="Calibri" w:hAnsi="Calibri" w:cs="Calibri"/>
        </w:rPr>
        <w:t>Are at least at age of 18 on the date of course commencement.</w:t>
      </w:r>
    </w:p>
    <w:p w14:paraId="4B1354C1" w14:textId="2FF494E5" w:rsidR="00610F05" w:rsidRPr="00610F05" w:rsidRDefault="009A1ED4" w:rsidP="009A1ED4">
      <w:pPr>
        <w:numPr>
          <w:ilvl w:val="0"/>
          <w:numId w:val="9"/>
        </w:numPr>
        <w:spacing w:after="0" w:line="276" w:lineRule="auto"/>
        <w:contextualSpacing/>
        <w:jc w:val="both"/>
      </w:pPr>
      <w:r w:rsidRPr="009A1ED4">
        <w:rPr>
          <w:rFonts w:ascii="Calibri" w:hAnsi="Calibri" w:cs="Calibri"/>
          <w:b/>
          <w:bCs/>
        </w:rPr>
        <w:t>Please Note:</w:t>
      </w:r>
      <w:r w:rsidRPr="009A1ED4">
        <w:rPr>
          <w:rFonts w:ascii="Calibri" w:hAnsi="Calibri" w:cs="Calibri"/>
        </w:rPr>
        <w:t xml:space="preserve"> </w:t>
      </w:r>
      <w:r w:rsidR="00610F05">
        <w:rPr>
          <w:rFonts w:ascii="Calibri" w:hAnsi="Calibri" w:cs="Calibri"/>
        </w:rPr>
        <w:t xml:space="preserve">It is highly recommended </w:t>
      </w:r>
      <w:r w:rsidR="00C93073">
        <w:rPr>
          <w:rFonts w:ascii="Calibri" w:hAnsi="Calibri" w:cs="Calibri"/>
        </w:rPr>
        <w:t>that student must have successfully completed ‘</w:t>
      </w:r>
      <w:r w:rsidR="00610F05" w:rsidRPr="00F6200C">
        <w:rPr>
          <w:rFonts w:ascii="Calibri" w:hAnsi="Calibri" w:cs="Calibri"/>
        </w:rPr>
        <w:t>CPCCWHS1001 Prepare to work safely in the construction industry</w:t>
      </w:r>
      <w:r w:rsidR="00C93073">
        <w:rPr>
          <w:rFonts w:ascii="Calibri" w:hAnsi="Calibri" w:cs="Calibri"/>
        </w:rPr>
        <w:t>’, prior commencing this course as this unit of competency is a pre-requisite to most of the units con</w:t>
      </w:r>
      <w:r w:rsidR="00FC5C5F">
        <w:rPr>
          <w:rFonts w:ascii="Calibri" w:hAnsi="Calibri" w:cs="Calibri"/>
        </w:rPr>
        <w:t>tained within the qualification</w:t>
      </w:r>
      <w:r w:rsidR="00610F05">
        <w:rPr>
          <w:rFonts w:ascii="Calibri" w:hAnsi="Calibri" w:cs="Calibri"/>
        </w:rPr>
        <w:t>.</w:t>
      </w:r>
    </w:p>
    <w:p w14:paraId="102DA9F8" w14:textId="19D99419" w:rsidR="00E32318" w:rsidRPr="009A1ED4" w:rsidRDefault="009A1ED4" w:rsidP="009A1ED4">
      <w:pPr>
        <w:numPr>
          <w:ilvl w:val="0"/>
          <w:numId w:val="9"/>
        </w:numPr>
        <w:spacing w:after="0" w:line="276" w:lineRule="auto"/>
        <w:contextualSpacing/>
        <w:jc w:val="both"/>
      </w:pPr>
      <w:r w:rsidRPr="009A1ED4">
        <w:rPr>
          <w:rFonts w:ascii="Calibri" w:hAnsi="Calibri" w:cs="Calibri"/>
        </w:rPr>
        <w:t>All the students commencing this course are required to complete LLN test on the orientation day to assist Get Education Australia to identify student’s needs for additional support during their study with Get Education Australia</w:t>
      </w:r>
      <w:r w:rsidR="00E32318" w:rsidRPr="009A1ED4">
        <w:t>.</w:t>
      </w:r>
    </w:p>
    <w:p w14:paraId="29210200" w14:textId="77777777" w:rsidR="00F876F4" w:rsidRDefault="00F876F4" w:rsidP="00E32318">
      <w:pPr>
        <w:rPr>
          <w:rFonts w:ascii="Calibri" w:eastAsia="Times New Roman" w:hAnsi="Calibri" w:cs="Calibri"/>
          <w:sz w:val="18"/>
          <w:szCs w:val="18"/>
          <w:lang w:eastAsia="en-AU"/>
        </w:rPr>
      </w:pPr>
    </w:p>
    <w:tbl>
      <w:tblPr>
        <w:tblW w:w="0" w:type="auto"/>
        <w:tblInd w:w="-34" w:type="dxa"/>
        <w:shd w:val="clear" w:color="auto" w:fill="D9D9D9"/>
        <w:tblLook w:val="04A0" w:firstRow="1" w:lastRow="0" w:firstColumn="1" w:lastColumn="0" w:noHBand="0" w:noVBand="1"/>
      </w:tblPr>
      <w:tblGrid>
        <w:gridCol w:w="9226"/>
      </w:tblGrid>
      <w:tr w:rsidR="00E32318" w:rsidRPr="00E02578" w14:paraId="17A58EAF" w14:textId="77777777" w:rsidTr="005A6A30">
        <w:tc>
          <w:tcPr>
            <w:tcW w:w="9996" w:type="dxa"/>
            <w:shd w:val="clear" w:color="auto" w:fill="808080"/>
          </w:tcPr>
          <w:p w14:paraId="64C93FE8" w14:textId="77777777" w:rsidR="00E32318" w:rsidRPr="00E02578" w:rsidRDefault="00E32318" w:rsidP="005A6A30">
            <w:pPr>
              <w:pStyle w:val="QMSNumberedSubhead"/>
              <w:spacing w:before="120"/>
              <w:ind w:left="0" w:firstLine="0"/>
              <w:rPr>
                <w:rFonts w:ascii="Calibri" w:hAnsi="Calibri" w:cs="Calibri"/>
                <w:color w:val="FFFFFF"/>
              </w:rPr>
            </w:pPr>
            <w:r>
              <w:rPr>
                <w:rFonts w:ascii="Calibri" w:hAnsi="Calibri" w:cs="Calibri"/>
                <w:color w:val="FFFFFF"/>
              </w:rPr>
              <w:t>Covid-19 Variation to Delivery and Assessment Strategy</w:t>
            </w:r>
          </w:p>
        </w:tc>
      </w:tr>
    </w:tbl>
    <w:p w14:paraId="56C0A54A" w14:textId="77777777" w:rsidR="00E32318" w:rsidRDefault="00E32318" w:rsidP="00E32318">
      <w:pPr>
        <w:spacing w:after="0"/>
        <w:rPr>
          <w:rFonts w:ascii="Calibri" w:eastAsia="Times New Roman" w:hAnsi="Calibri" w:cs="Calibri"/>
          <w:b/>
          <w:bCs/>
          <w:sz w:val="18"/>
          <w:szCs w:val="18"/>
          <w:lang w:eastAsia="en-AU"/>
        </w:rPr>
      </w:pPr>
    </w:p>
    <w:p w14:paraId="0004AF6E" w14:textId="6AC32C5A" w:rsidR="00E32318" w:rsidRPr="00E32318" w:rsidRDefault="00CC4738" w:rsidP="00E32318">
      <w:pPr>
        <w:rPr>
          <w:rFonts w:ascii="Calibri" w:eastAsia="Times New Roman" w:hAnsi="Calibri" w:cs="Calibri"/>
          <w:b/>
          <w:bCs/>
          <w:lang w:eastAsia="en-AU"/>
        </w:rPr>
      </w:pPr>
      <w:r>
        <w:rPr>
          <w:rFonts w:ascii="Calibri" w:eastAsia="Times New Roman" w:hAnsi="Calibri" w:cs="Calibri"/>
          <w:b/>
          <w:bCs/>
          <w:lang w:eastAsia="en-AU"/>
        </w:rPr>
        <w:t xml:space="preserve">Additional </w:t>
      </w:r>
      <w:r w:rsidR="00E32318" w:rsidRPr="00E32318">
        <w:rPr>
          <w:rFonts w:ascii="Calibri" w:eastAsia="Times New Roman" w:hAnsi="Calibri" w:cs="Calibri"/>
          <w:b/>
          <w:bCs/>
          <w:lang w:eastAsia="en-AU"/>
        </w:rPr>
        <w:t>entry requirements:</w:t>
      </w:r>
    </w:p>
    <w:p w14:paraId="2A3A26D9" w14:textId="77777777" w:rsidR="00532F4F" w:rsidRPr="00532F4F" w:rsidRDefault="00532F4F" w:rsidP="00532F4F">
      <w:pPr>
        <w:pStyle w:val="ListParagraph"/>
        <w:numPr>
          <w:ilvl w:val="0"/>
          <w:numId w:val="10"/>
        </w:numPr>
        <w:spacing w:before="120" w:after="60" w:line="276" w:lineRule="auto"/>
        <w:contextualSpacing w:val="0"/>
        <w:jc w:val="both"/>
        <w:outlineLvl w:val="0"/>
        <w:rPr>
          <w:rFonts w:eastAsia="Calibri" w:cs="Calibri"/>
          <w:bCs/>
        </w:rPr>
      </w:pPr>
      <w:r w:rsidRPr="00532F4F">
        <w:rPr>
          <w:rFonts w:eastAsia="Calibri" w:cs="Calibri"/>
          <w:bCs/>
        </w:rPr>
        <w:t xml:space="preserve">Student must have access to working PC or laptop with a configuration suitable to meet study requirements. Please seek your trainer/assessor assistance in this regard. </w:t>
      </w:r>
    </w:p>
    <w:p w14:paraId="13F11034" w14:textId="77777777" w:rsidR="00532F4F" w:rsidRPr="00532F4F" w:rsidRDefault="00532F4F" w:rsidP="00532F4F">
      <w:pPr>
        <w:pStyle w:val="ListParagraph"/>
        <w:numPr>
          <w:ilvl w:val="0"/>
          <w:numId w:val="10"/>
        </w:numPr>
        <w:spacing w:before="120" w:after="60" w:line="276" w:lineRule="auto"/>
        <w:contextualSpacing w:val="0"/>
        <w:jc w:val="both"/>
        <w:outlineLvl w:val="0"/>
        <w:rPr>
          <w:rFonts w:eastAsia="Calibri" w:cs="Calibri"/>
          <w:bCs/>
        </w:rPr>
      </w:pPr>
      <w:r w:rsidRPr="00532F4F">
        <w:rPr>
          <w:rFonts w:eastAsia="Calibri" w:cs="Calibri"/>
          <w:bCs/>
        </w:rPr>
        <w:t xml:space="preserve">Student must have sound digital literacy and access to working internet. </w:t>
      </w:r>
    </w:p>
    <w:p w14:paraId="2207454D" w14:textId="77777777" w:rsidR="00532F4F" w:rsidRPr="00532F4F" w:rsidRDefault="00532F4F" w:rsidP="00532F4F">
      <w:pPr>
        <w:pStyle w:val="ListParagraph"/>
        <w:numPr>
          <w:ilvl w:val="0"/>
          <w:numId w:val="10"/>
        </w:numPr>
        <w:spacing w:before="120" w:after="60" w:line="276" w:lineRule="auto"/>
        <w:contextualSpacing w:val="0"/>
        <w:jc w:val="both"/>
        <w:outlineLvl w:val="0"/>
        <w:rPr>
          <w:rFonts w:eastAsia="Calibri" w:cs="Calibri"/>
          <w:bCs/>
        </w:rPr>
      </w:pPr>
      <w:r w:rsidRPr="00532F4F">
        <w:rPr>
          <w:rFonts w:eastAsia="Calibri" w:cs="Calibri"/>
          <w:bCs/>
        </w:rPr>
        <w:t>Student must be able to attend scheduled theory classes and classes to be conducted in simulated environment (if schedule during Covid-19 is varied from original schedule).</w:t>
      </w:r>
    </w:p>
    <w:p w14:paraId="26D41ECE" w14:textId="0BFA6D79" w:rsidR="00E32318" w:rsidRPr="00532F4F" w:rsidRDefault="00532F4F" w:rsidP="00532F4F">
      <w:pPr>
        <w:pStyle w:val="ListParagraph"/>
        <w:numPr>
          <w:ilvl w:val="0"/>
          <w:numId w:val="10"/>
        </w:numPr>
        <w:spacing w:before="120" w:after="60" w:line="276" w:lineRule="auto"/>
        <w:contextualSpacing w:val="0"/>
        <w:jc w:val="both"/>
        <w:outlineLvl w:val="0"/>
        <w:rPr>
          <w:rFonts w:eastAsia="Calibri" w:cs="Calibri"/>
          <w:bCs/>
        </w:rPr>
      </w:pPr>
      <w:r w:rsidRPr="00532F4F">
        <w:rPr>
          <w:rFonts w:eastAsia="Calibri" w:cs="Calibri"/>
          <w:bCs/>
        </w:rPr>
        <w:t>Where classroom visit is required to conduct the assessments in the compliant way and in accordance with Standard 1.8 of SRTO 2015, Get Education Australia would not be allowing more than 4 learners (or one group, whichever is less) in the class ensuring 4 sqm social distancing is maintained</w:t>
      </w:r>
      <w:r w:rsidR="00E32318" w:rsidRPr="00532F4F">
        <w:rPr>
          <w:rFonts w:eastAsia="Calibri" w:cs="Calibri"/>
          <w:bCs/>
        </w:rPr>
        <w:t>.</w:t>
      </w:r>
      <w:r w:rsidR="00E32318" w:rsidRPr="00532F4F">
        <w:t xml:space="preserve"> </w:t>
      </w:r>
    </w:p>
    <w:p w14:paraId="4545CFDB" w14:textId="77777777" w:rsidR="00D1667B" w:rsidRDefault="00E32318" w:rsidP="00D1667B">
      <w:pPr>
        <w:pStyle w:val="ListParagraph"/>
        <w:spacing w:before="120" w:after="60" w:line="276" w:lineRule="auto"/>
        <w:ind w:left="0"/>
        <w:contextualSpacing w:val="0"/>
        <w:jc w:val="both"/>
        <w:outlineLvl w:val="0"/>
        <w:rPr>
          <w:rFonts w:eastAsia="Calibri" w:cs="Calibri"/>
          <w:bCs/>
        </w:rPr>
      </w:pPr>
      <w:r w:rsidRPr="00E32318">
        <w:rPr>
          <w:rFonts w:eastAsia="Calibri" w:cs="Calibri"/>
          <w:bCs/>
        </w:rPr>
        <w:t xml:space="preserve">During COVID-19 (coronavirus) outbreak, </w:t>
      </w:r>
      <w:r w:rsidR="00532F4F">
        <w:rPr>
          <w:rFonts w:eastAsia="Calibri" w:cs="Calibri"/>
          <w:bCs/>
        </w:rPr>
        <w:t>GET Education Australia</w:t>
      </w:r>
      <w:r w:rsidRPr="00E32318">
        <w:rPr>
          <w:rFonts w:eastAsia="Calibri" w:cs="Calibri"/>
          <w:bCs/>
        </w:rPr>
        <w:t xml:space="preserve"> will use a flexible delivery mode for training and assessment, providing training package requirements allow for this. We would ensure that all regulatory requirements are met with as little disruptions possible. As circumstances change and restrictions are eased, these temporary arrangements will be reviewed, and enrolled students will be notified accordingly. </w:t>
      </w:r>
      <w:r w:rsidR="00532F4F">
        <w:rPr>
          <w:rFonts w:eastAsia="Calibri" w:cs="Calibri"/>
          <w:bCs/>
        </w:rPr>
        <w:t>GET Education Australia</w:t>
      </w:r>
      <w:r w:rsidRPr="00E32318">
        <w:rPr>
          <w:rFonts w:eastAsia="Calibri" w:cs="Calibri"/>
          <w:bCs/>
        </w:rPr>
        <w:t xml:space="preserve"> aims to review any changes in circumstances before commencement of each term so that it has least possible impact on students and course delivery.</w:t>
      </w:r>
    </w:p>
    <w:p w14:paraId="0B99826D" w14:textId="7FA90AD1" w:rsidR="00D1667B" w:rsidRDefault="00D1667B" w:rsidP="00E32318">
      <w:pPr>
        <w:pStyle w:val="ListParagraph"/>
        <w:spacing w:before="120" w:after="60" w:line="276" w:lineRule="auto"/>
        <w:ind w:left="0"/>
        <w:contextualSpacing w:val="0"/>
        <w:jc w:val="both"/>
        <w:outlineLvl w:val="0"/>
        <w:rPr>
          <w:rFonts w:eastAsia="Calibri" w:cs="Calibri"/>
          <w:bCs/>
        </w:rPr>
      </w:pPr>
      <w:r>
        <w:rPr>
          <w:rFonts w:eastAsia="Calibri" w:cs="Calibri"/>
          <w:bCs/>
        </w:rPr>
        <w:t>S</w:t>
      </w:r>
      <w:r w:rsidRPr="00D1667B">
        <w:rPr>
          <w:rFonts w:eastAsia="Calibri" w:cs="Calibri"/>
          <w:bCs/>
        </w:rPr>
        <w:t xml:space="preserve">tudents must complete their practicals in </w:t>
      </w:r>
      <w:r w:rsidR="001F7443">
        <w:rPr>
          <w:rFonts w:eastAsia="Calibri" w:cs="Calibri"/>
          <w:bCs/>
        </w:rPr>
        <w:t>the GET Education’s</w:t>
      </w:r>
      <w:r w:rsidRPr="00D1667B">
        <w:rPr>
          <w:rFonts w:eastAsia="Calibri" w:cs="Calibri"/>
          <w:bCs/>
        </w:rPr>
        <w:t xml:space="preserve"> </w:t>
      </w:r>
      <w:r w:rsidR="001F7443">
        <w:rPr>
          <w:rFonts w:eastAsia="Calibri" w:cs="Calibri"/>
          <w:bCs/>
        </w:rPr>
        <w:t xml:space="preserve">CPC </w:t>
      </w:r>
      <w:r w:rsidRPr="00D1667B">
        <w:rPr>
          <w:rFonts w:eastAsia="Calibri" w:cs="Calibri"/>
          <w:bCs/>
        </w:rPr>
        <w:t xml:space="preserve">facilities </w:t>
      </w:r>
      <w:r w:rsidR="001F7443">
        <w:rPr>
          <w:rFonts w:eastAsia="Calibri" w:cs="Calibri"/>
          <w:bCs/>
        </w:rPr>
        <w:t xml:space="preserve">(nominated warehouse) </w:t>
      </w:r>
      <w:r w:rsidRPr="00D1667B">
        <w:rPr>
          <w:rFonts w:eastAsia="Calibri" w:cs="Calibri"/>
          <w:bCs/>
        </w:rPr>
        <w:t xml:space="preserve">or as advised otherwise. </w:t>
      </w:r>
    </w:p>
    <w:p w14:paraId="6DD0FE20" w14:textId="23583FEF" w:rsidR="00E32318" w:rsidRPr="00E32318" w:rsidRDefault="00532F4F" w:rsidP="00E32318">
      <w:pPr>
        <w:pStyle w:val="ListParagraph"/>
        <w:spacing w:before="120" w:after="60" w:line="276" w:lineRule="auto"/>
        <w:ind w:left="0"/>
        <w:contextualSpacing w:val="0"/>
        <w:jc w:val="both"/>
        <w:outlineLvl w:val="0"/>
        <w:rPr>
          <w:rFonts w:eastAsia="Calibri" w:cs="Calibri"/>
          <w:bCs/>
        </w:rPr>
      </w:pPr>
      <w:r>
        <w:rPr>
          <w:rFonts w:eastAsia="Calibri" w:cs="Calibri"/>
          <w:bCs/>
        </w:rPr>
        <w:t>GET Education Australia</w:t>
      </w:r>
      <w:r w:rsidR="00E32318" w:rsidRPr="00E32318">
        <w:rPr>
          <w:rFonts w:eastAsia="Calibri" w:cs="Calibri"/>
          <w:bCs/>
        </w:rPr>
        <w:t xml:space="preserve"> will seek student’s consent of online delivery and assessment (where possible) prior to their enrolment during this Covid-19 outbreak. </w:t>
      </w:r>
    </w:p>
    <w:p w14:paraId="05B1F55C" w14:textId="4B498E6F" w:rsidR="00E32318" w:rsidRDefault="00E32318" w:rsidP="00E32318">
      <w:pPr>
        <w:pStyle w:val="ListParagraph"/>
        <w:spacing w:before="120" w:after="60" w:line="276" w:lineRule="auto"/>
        <w:ind w:left="0"/>
        <w:contextualSpacing w:val="0"/>
        <w:jc w:val="both"/>
        <w:outlineLvl w:val="0"/>
        <w:rPr>
          <w:rFonts w:eastAsia="Calibri" w:cs="Calibri"/>
          <w:bCs/>
        </w:rPr>
      </w:pPr>
      <w:r w:rsidRPr="00E32318">
        <w:rPr>
          <w:rFonts w:eastAsia="Calibri" w:cs="Calibri"/>
          <w:bCs/>
        </w:rPr>
        <w:lastRenderedPageBreak/>
        <w:t>We are fully committed to remain transparent on the mode of delivery, resources available to students, methods of assessment and how assessment in simulated environment will be managed. We ensure that:</w:t>
      </w:r>
    </w:p>
    <w:p w14:paraId="171E74E9" w14:textId="77777777" w:rsidR="00E32318" w:rsidRPr="00E32318" w:rsidRDefault="00E32318" w:rsidP="00E32318">
      <w:pPr>
        <w:pStyle w:val="ListParagraph"/>
        <w:numPr>
          <w:ilvl w:val="0"/>
          <w:numId w:val="11"/>
        </w:numPr>
        <w:spacing w:before="120" w:after="60" w:line="276" w:lineRule="auto"/>
        <w:contextualSpacing w:val="0"/>
        <w:jc w:val="both"/>
        <w:outlineLvl w:val="0"/>
        <w:rPr>
          <w:rFonts w:eastAsia="Calibri" w:cs="Calibri"/>
          <w:bCs/>
        </w:rPr>
      </w:pPr>
      <w:r w:rsidRPr="00E32318">
        <w:rPr>
          <w:rFonts w:eastAsia="Calibri" w:cs="Calibri"/>
          <w:bCs/>
        </w:rPr>
        <w:t>Students are treated fairly and reasonably.</w:t>
      </w:r>
    </w:p>
    <w:p w14:paraId="0677C1C0" w14:textId="77777777" w:rsidR="00E32318" w:rsidRPr="00E32318" w:rsidRDefault="00E32318" w:rsidP="00E32318">
      <w:pPr>
        <w:pStyle w:val="ListParagraph"/>
        <w:numPr>
          <w:ilvl w:val="0"/>
          <w:numId w:val="11"/>
        </w:numPr>
        <w:spacing w:before="120" w:after="60" w:line="276" w:lineRule="auto"/>
        <w:contextualSpacing w:val="0"/>
        <w:jc w:val="both"/>
        <w:outlineLvl w:val="0"/>
        <w:rPr>
          <w:rFonts w:eastAsia="Calibri" w:cs="Calibri"/>
          <w:bCs/>
        </w:rPr>
      </w:pPr>
      <w:r w:rsidRPr="00E32318">
        <w:rPr>
          <w:rFonts w:eastAsia="Calibri" w:cs="Calibri"/>
          <w:bCs/>
        </w:rPr>
        <w:t>Any adjustments to courses are transparent and communicated clearly to students.</w:t>
      </w:r>
    </w:p>
    <w:p w14:paraId="693BAD31" w14:textId="64AD63AE" w:rsidR="00E32318" w:rsidRPr="00285CD2" w:rsidRDefault="00E32318" w:rsidP="008D4AD0">
      <w:pPr>
        <w:pStyle w:val="ListParagraph"/>
        <w:numPr>
          <w:ilvl w:val="0"/>
          <w:numId w:val="11"/>
        </w:numPr>
        <w:tabs>
          <w:tab w:val="left" w:pos="1418"/>
        </w:tabs>
        <w:spacing w:before="120" w:after="60" w:line="276" w:lineRule="auto"/>
        <w:contextualSpacing w:val="0"/>
        <w:jc w:val="both"/>
        <w:outlineLvl w:val="0"/>
        <w:rPr>
          <w:rFonts w:eastAsia="Calibri" w:cs="Calibri"/>
          <w:bCs/>
        </w:rPr>
      </w:pPr>
      <w:r w:rsidRPr="00E32318">
        <w:rPr>
          <w:rFonts w:eastAsia="Calibri" w:cs="Calibri"/>
          <w:bCs/>
        </w:rPr>
        <w:t>All adjustments to course delivery, the process for informing and seeking students’ consent, and information relevant to individual students is documented and retained</w:t>
      </w:r>
      <w:bookmarkEnd w:id="2"/>
      <w:r w:rsidRPr="00E32318">
        <w:rPr>
          <w:rFonts w:cs="Calibri"/>
        </w:rPr>
        <w:t>.</w:t>
      </w:r>
    </w:p>
    <w:p w14:paraId="7926A88D" w14:textId="77777777" w:rsidR="00CD5CFB" w:rsidRDefault="00285CD2" w:rsidP="00532F4F">
      <w:pPr>
        <w:pStyle w:val="NormalWeb"/>
        <w:shd w:val="clear" w:color="auto" w:fill="FFFFFF"/>
        <w:spacing w:before="0" w:beforeAutospacing="0" w:after="120" w:afterAutospacing="0"/>
        <w:jc w:val="both"/>
        <w:rPr>
          <w:rFonts w:asciiTheme="minorHAnsi" w:eastAsiaTheme="minorHAnsi" w:hAnsiTheme="minorHAnsi" w:cstheme="minorBidi"/>
          <w:sz w:val="22"/>
          <w:szCs w:val="22"/>
          <w:lang w:eastAsia="en-US"/>
        </w:rPr>
      </w:pPr>
      <w:r w:rsidRPr="00AD59EF">
        <w:rPr>
          <w:rFonts w:asciiTheme="minorHAnsi" w:eastAsiaTheme="minorHAnsi" w:hAnsiTheme="minorHAnsi" w:cstheme="minorBidi"/>
          <w:b/>
          <w:bCs/>
          <w:sz w:val="22"/>
          <w:szCs w:val="22"/>
          <w:lang w:eastAsia="en-US"/>
        </w:rPr>
        <w:t>Orientation</w:t>
      </w:r>
      <w:r w:rsidRPr="00AD59EF">
        <w:rPr>
          <w:rFonts w:asciiTheme="minorHAnsi" w:eastAsiaTheme="minorHAnsi" w:hAnsiTheme="minorHAnsi" w:cstheme="minorBidi"/>
          <w:sz w:val="22"/>
          <w:szCs w:val="22"/>
          <w:lang w:eastAsia="en-US"/>
        </w:rPr>
        <w:t xml:space="preserve">: </w:t>
      </w:r>
    </w:p>
    <w:p w14:paraId="49D9D62F" w14:textId="77777777" w:rsidR="00532F4F" w:rsidRPr="00532F4F" w:rsidRDefault="00532F4F" w:rsidP="00532F4F">
      <w:pPr>
        <w:pStyle w:val="NormalWeb"/>
        <w:shd w:val="clear" w:color="auto" w:fill="FFFFFF"/>
        <w:spacing w:before="0" w:beforeAutospacing="0"/>
        <w:jc w:val="both"/>
        <w:rPr>
          <w:rFonts w:ascii="Calibri" w:eastAsia="Calibri" w:hAnsi="Calibri"/>
          <w:sz w:val="22"/>
          <w:szCs w:val="22"/>
          <w:lang w:eastAsia="en-US"/>
        </w:rPr>
      </w:pPr>
      <w:r w:rsidRPr="00532F4F">
        <w:rPr>
          <w:rFonts w:ascii="Calibri" w:eastAsia="Calibri" w:hAnsi="Calibri"/>
          <w:sz w:val="22"/>
          <w:szCs w:val="22"/>
          <w:lang w:eastAsia="en-US"/>
        </w:rPr>
        <w:t>New student Orientation will be done via phone, e-mail and zoom. New students will receive an e-mail and call from the Admissions department on the Friday, prior to their date of commencement with all necessary further information and instructions.</w:t>
      </w:r>
    </w:p>
    <w:p w14:paraId="20EF0E99" w14:textId="44FAAEFA" w:rsidR="00285CD2" w:rsidRPr="00532F4F" w:rsidRDefault="00532F4F" w:rsidP="00532F4F">
      <w:pPr>
        <w:pStyle w:val="NormalWeb"/>
        <w:shd w:val="clear" w:color="auto" w:fill="FFFFFF"/>
        <w:spacing w:before="0" w:beforeAutospacing="0"/>
        <w:jc w:val="both"/>
        <w:rPr>
          <w:rFonts w:ascii="Calibri" w:eastAsia="Calibri" w:hAnsi="Calibri"/>
          <w:sz w:val="22"/>
          <w:szCs w:val="22"/>
          <w:lang w:eastAsia="en-US"/>
        </w:rPr>
      </w:pPr>
      <w:r w:rsidRPr="00532F4F">
        <w:rPr>
          <w:rFonts w:ascii="Calibri" w:eastAsia="Calibri" w:hAnsi="Calibri"/>
          <w:sz w:val="22"/>
          <w:szCs w:val="22"/>
          <w:lang w:eastAsia="en-US"/>
        </w:rPr>
        <w:t xml:space="preserve">If you have any questions regarding this process, please contact +61 (0) 421 386 318 or </w:t>
      </w:r>
      <w:hyperlink r:id="rId8" w:history="1">
        <w:r w:rsidRPr="00532F4F">
          <w:rPr>
            <w:rStyle w:val="Hyperlink"/>
            <w:rFonts w:ascii="Calibri" w:eastAsia="Calibri" w:hAnsi="Calibri"/>
            <w:sz w:val="22"/>
            <w:szCs w:val="22"/>
            <w:lang w:eastAsia="en-US"/>
          </w:rPr>
          <w:t>admin@get.edu.au</w:t>
        </w:r>
      </w:hyperlink>
      <w:r w:rsidRPr="00532F4F">
        <w:rPr>
          <w:rFonts w:ascii="Calibri" w:eastAsia="Calibri" w:hAnsi="Calibri"/>
          <w:sz w:val="22"/>
          <w:szCs w:val="22"/>
          <w:lang w:eastAsia="en-US"/>
        </w:rPr>
        <w:t>. Please email or call the student administration should you require any additional support</w:t>
      </w:r>
      <w:r w:rsidR="00285CD2" w:rsidRPr="00532F4F">
        <w:rPr>
          <w:rFonts w:asciiTheme="minorHAnsi" w:eastAsiaTheme="minorHAnsi" w:hAnsiTheme="minorHAnsi" w:cstheme="minorBidi"/>
          <w:sz w:val="22"/>
          <w:szCs w:val="22"/>
          <w:lang w:eastAsia="en-US"/>
        </w:rPr>
        <w:t>.</w:t>
      </w:r>
    </w:p>
    <w:p w14:paraId="724C89D3" w14:textId="77777777" w:rsidR="001F707B" w:rsidRPr="002056D9" w:rsidRDefault="001F707B" w:rsidP="00532F4F">
      <w:pPr>
        <w:shd w:val="clear" w:color="auto" w:fill="FFFFFF"/>
        <w:spacing w:after="120" w:line="240" w:lineRule="auto"/>
        <w:jc w:val="both"/>
        <w:rPr>
          <w:rFonts w:ascii="Calibri" w:eastAsia="Calibri" w:hAnsi="Calibri" w:cs="Calibri"/>
          <w:b/>
          <w:lang w:eastAsia="en-AU"/>
        </w:rPr>
      </w:pPr>
      <w:r w:rsidRPr="002056D9">
        <w:rPr>
          <w:rFonts w:ascii="Calibri" w:eastAsia="Calibri" w:hAnsi="Calibri" w:cs="Calibri"/>
          <w:b/>
          <w:lang w:eastAsia="en-AU"/>
        </w:rPr>
        <w:t>Classes</w:t>
      </w:r>
    </w:p>
    <w:p w14:paraId="7D5051CB" w14:textId="3908CE0D" w:rsidR="001F707B" w:rsidRPr="002056D9" w:rsidRDefault="001F707B" w:rsidP="00532F4F">
      <w:pPr>
        <w:shd w:val="clear" w:color="auto" w:fill="FFFFFF"/>
        <w:spacing w:after="100" w:afterAutospacing="1" w:line="240" w:lineRule="auto"/>
        <w:jc w:val="both"/>
        <w:rPr>
          <w:rFonts w:ascii="Calibri" w:eastAsia="Calibri" w:hAnsi="Calibri" w:cs="Calibri"/>
          <w:bCs/>
          <w:lang w:eastAsia="en-AU"/>
        </w:rPr>
      </w:pPr>
      <w:r w:rsidRPr="002056D9">
        <w:rPr>
          <w:rFonts w:ascii="Calibri" w:eastAsia="Calibri" w:hAnsi="Calibri" w:cs="Calibri"/>
          <w:bCs/>
          <w:lang w:eastAsia="en-AU"/>
        </w:rPr>
        <w:t xml:space="preserve">During Covid-19, </w:t>
      </w:r>
      <w:r w:rsidR="00532F4F">
        <w:rPr>
          <w:rFonts w:ascii="Calibri" w:eastAsia="Calibri" w:hAnsi="Calibri" w:cs="Calibri"/>
          <w:bCs/>
          <w:lang w:eastAsia="en-AU"/>
        </w:rPr>
        <w:t>GET Education Australia</w:t>
      </w:r>
      <w:r w:rsidRPr="002056D9">
        <w:rPr>
          <w:rFonts w:ascii="Calibri" w:eastAsia="Calibri" w:hAnsi="Calibri" w:cs="Calibri"/>
          <w:bCs/>
          <w:lang w:eastAsia="en-AU"/>
        </w:rPr>
        <w:t xml:space="preserve"> will transition to an online learning environment, this means there will be no face to classes running, unless required to be in simulated environment specifically in class; or covid-19 restrictions are eased and/or state government allow to return to full onsite learning. If any student require assistance with their online learning environment, student will notify their trainer and assessor where trainer/assessor will provide them with further guidance.</w:t>
      </w:r>
    </w:p>
    <w:p w14:paraId="4C403D3D" w14:textId="79948BA1" w:rsidR="001F707B" w:rsidRPr="002056D9" w:rsidRDefault="001F707B" w:rsidP="003A0360">
      <w:pPr>
        <w:shd w:val="clear" w:color="auto" w:fill="FFFFFF"/>
        <w:spacing w:after="0" w:line="240" w:lineRule="auto"/>
        <w:jc w:val="both"/>
        <w:rPr>
          <w:rFonts w:ascii="Calibri" w:eastAsia="Times New Roman" w:hAnsi="Calibri" w:cs="Calibri"/>
          <w:b/>
          <w:bCs/>
          <w:lang w:eastAsia="en-AU"/>
        </w:rPr>
      </w:pPr>
      <w:r w:rsidRPr="002056D9">
        <w:rPr>
          <w:rFonts w:ascii="Calibri" w:eastAsia="Times New Roman" w:hAnsi="Calibri" w:cs="Calibri"/>
          <w:b/>
          <w:bCs/>
          <w:lang w:eastAsia="en-AU"/>
        </w:rPr>
        <w:t>Online options</w:t>
      </w:r>
    </w:p>
    <w:p w14:paraId="577A3097" w14:textId="77777777" w:rsidR="001F707B" w:rsidRPr="002056D9" w:rsidRDefault="001F707B" w:rsidP="001F707B">
      <w:pPr>
        <w:shd w:val="clear" w:color="auto" w:fill="FFFFFF"/>
        <w:spacing w:after="100" w:afterAutospacing="1" w:line="240" w:lineRule="auto"/>
        <w:jc w:val="both"/>
        <w:rPr>
          <w:rFonts w:ascii="Calibri" w:eastAsia="Calibri" w:hAnsi="Calibri" w:cs="Calibri"/>
          <w:bCs/>
          <w:lang w:eastAsia="en-AU"/>
        </w:rPr>
      </w:pPr>
      <w:r w:rsidRPr="002056D9">
        <w:rPr>
          <w:rFonts w:ascii="Calibri" w:eastAsia="Calibri" w:hAnsi="Calibri" w:cs="Calibri"/>
          <w:bCs/>
          <w:lang w:eastAsia="en-AU"/>
        </w:rPr>
        <w:t>The online learning environment will be supported by a range of resources that will vary between units but may consist of learning summaries, video recordings or YouTube videos, and extra documents to aid student’s learning.  All training staff will be available online at scheduled class times to guide and support the student through their studies. The online learning environment will be available through using Zoom.</w:t>
      </w:r>
    </w:p>
    <w:p w14:paraId="05A6EC1F" w14:textId="77777777" w:rsidR="001F707B" w:rsidRPr="002056D9" w:rsidRDefault="001F707B" w:rsidP="003A0360">
      <w:pPr>
        <w:shd w:val="clear" w:color="auto" w:fill="FFFFFF"/>
        <w:spacing w:after="0" w:line="240" w:lineRule="auto"/>
        <w:jc w:val="both"/>
        <w:rPr>
          <w:rFonts w:ascii="Calibri" w:eastAsia="Times New Roman" w:hAnsi="Calibri" w:cs="Calibri"/>
          <w:b/>
          <w:bCs/>
          <w:lang w:eastAsia="en-AU"/>
        </w:rPr>
      </w:pPr>
      <w:r w:rsidRPr="002056D9">
        <w:rPr>
          <w:rFonts w:ascii="Calibri" w:eastAsia="Times New Roman" w:hAnsi="Calibri" w:cs="Calibri"/>
          <w:b/>
          <w:bCs/>
          <w:lang w:eastAsia="en-AU"/>
        </w:rPr>
        <w:t>Assessment</w:t>
      </w:r>
    </w:p>
    <w:p w14:paraId="6FBD1DE0" w14:textId="77777777" w:rsidR="001F707B" w:rsidRPr="002056D9" w:rsidRDefault="001F707B" w:rsidP="001F707B">
      <w:pPr>
        <w:shd w:val="clear" w:color="auto" w:fill="FFFFFF"/>
        <w:spacing w:after="100" w:afterAutospacing="1" w:line="240" w:lineRule="auto"/>
        <w:jc w:val="both"/>
        <w:rPr>
          <w:rFonts w:ascii="Calibri" w:eastAsia="Calibri" w:hAnsi="Calibri" w:cs="Calibri"/>
          <w:bCs/>
          <w:lang w:eastAsia="en-AU"/>
        </w:rPr>
      </w:pPr>
      <w:r w:rsidRPr="002056D9">
        <w:rPr>
          <w:rFonts w:ascii="Calibri" w:eastAsia="Calibri" w:hAnsi="Calibri" w:cs="Calibri"/>
          <w:bCs/>
          <w:lang w:eastAsia="en-AU"/>
        </w:rPr>
        <w:t>Assessment tasks will vary for each unit of competency, but some of these may be moved online. Some assessment tasks may also be delayed or deferred to a later date pending the situation with COVID-19. The trainers are required to communicate with students for unit specific information. The best way to do this is through Zoom or through email.</w:t>
      </w:r>
    </w:p>
    <w:p w14:paraId="43378407" w14:textId="77777777" w:rsidR="001F707B" w:rsidRPr="003A0360" w:rsidRDefault="001F707B" w:rsidP="003A0360">
      <w:pPr>
        <w:shd w:val="clear" w:color="auto" w:fill="FFFFFF"/>
        <w:spacing w:after="0" w:line="240" w:lineRule="auto"/>
        <w:jc w:val="both"/>
        <w:rPr>
          <w:rFonts w:ascii="Calibri" w:eastAsia="Times New Roman" w:hAnsi="Calibri" w:cs="Calibri"/>
          <w:b/>
          <w:bCs/>
          <w:lang w:eastAsia="en-AU"/>
        </w:rPr>
      </w:pPr>
      <w:r w:rsidRPr="003A0360">
        <w:rPr>
          <w:rFonts w:ascii="Calibri" w:eastAsia="Times New Roman" w:hAnsi="Calibri" w:cs="Calibri"/>
          <w:b/>
          <w:bCs/>
          <w:lang w:eastAsia="en-AU"/>
        </w:rPr>
        <w:t>Support</w:t>
      </w:r>
    </w:p>
    <w:p w14:paraId="43D0EB04" w14:textId="4BAF4242" w:rsidR="001F707B" w:rsidRDefault="001F707B" w:rsidP="001F707B">
      <w:pPr>
        <w:shd w:val="clear" w:color="auto" w:fill="FFFFFF"/>
        <w:spacing w:after="100" w:afterAutospacing="1" w:line="240" w:lineRule="auto"/>
        <w:jc w:val="both"/>
        <w:rPr>
          <w:rFonts w:ascii="Calibri" w:eastAsia="Calibri" w:hAnsi="Calibri" w:cs="Calibri"/>
          <w:bCs/>
          <w:lang w:eastAsia="en-AU"/>
        </w:rPr>
      </w:pPr>
      <w:r w:rsidRPr="002056D9">
        <w:rPr>
          <w:rFonts w:ascii="Calibri" w:eastAsia="Calibri" w:hAnsi="Calibri" w:cs="Calibri"/>
          <w:bCs/>
          <w:lang w:eastAsia="en-AU"/>
        </w:rPr>
        <w:t xml:space="preserve">All staff at </w:t>
      </w:r>
      <w:r w:rsidR="00532F4F">
        <w:rPr>
          <w:rFonts w:ascii="Calibri" w:eastAsia="Calibri" w:hAnsi="Calibri" w:cs="Calibri"/>
          <w:bCs/>
          <w:lang w:eastAsia="en-AU"/>
        </w:rPr>
        <w:t>GET Education Australia</w:t>
      </w:r>
      <w:r w:rsidRPr="002056D9">
        <w:rPr>
          <w:rFonts w:ascii="Calibri" w:eastAsia="Calibri" w:hAnsi="Calibri" w:cs="Calibri"/>
          <w:bCs/>
          <w:lang w:eastAsia="en-AU"/>
        </w:rPr>
        <w:t xml:space="preserve"> will continue to work and will continue to provide the students with the support any individual may need. The student will be remained connected with each trainer/assessor through regular class participation to assist them continuing their studies. </w:t>
      </w:r>
      <w:r w:rsidR="00532F4F">
        <w:rPr>
          <w:rFonts w:ascii="Calibri" w:eastAsia="Calibri" w:hAnsi="Calibri" w:cs="Calibri"/>
          <w:bCs/>
          <w:lang w:eastAsia="en-AU"/>
        </w:rPr>
        <w:t>GET Education Australia</w:t>
      </w:r>
      <w:r w:rsidRPr="002056D9">
        <w:rPr>
          <w:rFonts w:ascii="Calibri" w:eastAsia="Calibri" w:hAnsi="Calibri" w:cs="Calibri"/>
          <w:bCs/>
          <w:lang w:eastAsia="en-AU"/>
        </w:rPr>
        <w:t xml:space="preserve"> will also provide online academic and language support and student support staff are always here to help. </w:t>
      </w:r>
    </w:p>
    <w:p w14:paraId="724C96D3" w14:textId="77777777" w:rsidR="00490A51" w:rsidRDefault="00490A51" w:rsidP="001F707B">
      <w:pPr>
        <w:shd w:val="clear" w:color="auto" w:fill="FFFFFF"/>
        <w:spacing w:after="100" w:afterAutospacing="1" w:line="240" w:lineRule="auto"/>
        <w:jc w:val="both"/>
        <w:rPr>
          <w:rFonts w:ascii="Calibri" w:eastAsia="Calibri" w:hAnsi="Calibri" w:cs="Calibri"/>
          <w:bCs/>
          <w:lang w:eastAsia="en-AU"/>
        </w:rPr>
      </w:pPr>
    </w:p>
    <w:p w14:paraId="486CC0B5" w14:textId="77777777" w:rsidR="00490A51" w:rsidRPr="002056D9" w:rsidRDefault="00490A51" w:rsidP="001F707B">
      <w:pPr>
        <w:shd w:val="clear" w:color="auto" w:fill="FFFFFF"/>
        <w:spacing w:after="100" w:afterAutospacing="1" w:line="240" w:lineRule="auto"/>
        <w:jc w:val="both"/>
        <w:rPr>
          <w:rFonts w:ascii="Calibri" w:eastAsia="Calibri" w:hAnsi="Calibri" w:cs="Calibri"/>
          <w:bCs/>
          <w:lang w:eastAsia="en-AU"/>
        </w:rPr>
      </w:pPr>
    </w:p>
    <w:tbl>
      <w:tblPr>
        <w:tblW w:w="0" w:type="auto"/>
        <w:tblInd w:w="-34" w:type="dxa"/>
        <w:shd w:val="clear" w:color="auto" w:fill="D9D9D9"/>
        <w:tblLook w:val="04A0" w:firstRow="1" w:lastRow="0" w:firstColumn="1" w:lastColumn="0" w:noHBand="0" w:noVBand="1"/>
      </w:tblPr>
      <w:tblGrid>
        <w:gridCol w:w="9060"/>
      </w:tblGrid>
      <w:tr w:rsidR="00E32318" w:rsidRPr="00172357" w14:paraId="32DC212C" w14:textId="77777777" w:rsidTr="003A0360">
        <w:tc>
          <w:tcPr>
            <w:tcW w:w="9060" w:type="dxa"/>
            <w:shd w:val="clear" w:color="auto" w:fill="808080"/>
          </w:tcPr>
          <w:p w14:paraId="31700E2A" w14:textId="77777777" w:rsidR="00E32318" w:rsidRPr="000111BB" w:rsidRDefault="00E32318" w:rsidP="005A6A30">
            <w:pPr>
              <w:pStyle w:val="QMSNumberedSubhead"/>
              <w:spacing w:before="120"/>
              <w:ind w:left="0" w:firstLine="0"/>
              <w:rPr>
                <w:rFonts w:ascii="Calibri" w:hAnsi="Calibri" w:cs="Calibri"/>
                <w:color w:val="FFFFFF"/>
              </w:rPr>
            </w:pPr>
            <w:r w:rsidRPr="000111BB">
              <w:rPr>
                <w:rFonts w:ascii="Calibri" w:hAnsi="Calibri" w:cs="Calibri"/>
                <w:color w:val="FFFFFF"/>
              </w:rPr>
              <w:lastRenderedPageBreak/>
              <w:t>Pathways</w:t>
            </w:r>
          </w:p>
        </w:tc>
      </w:tr>
    </w:tbl>
    <w:p w14:paraId="41F16C80" w14:textId="77777777" w:rsidR="00E32318" w:rsidRPr="000111BB" w:rsidRDefault="00E32318" w:rsidP="00E32318">
      <w:pPr>
        <w:jc w:val="both"/>
        <w:rPr>
          <w:rFonts w:ascii="Calibri" w:hAnsi="Calibri" w:cs="Calibri"/>
          <w:sz w:val="12"/>
          <w:szCs w:val="12"/>
        </w:rPr>
      </w:pPr>
    </w:p>
    <w:p w14:paraId="27660BED" w14:textId="7B5CEA31" w:rsidR="009A1ED4" w:rsidRPr="009A1ED4" w:rsidRDefault="009A1ED4" w:rsidP="009A1ED4">
      <w:pPr>
        <w:spacing w:after="0" w:line="276" w:lineRule="auto"/>
        <w:contextualSpacing/>
        <w:jc w:val="both"/>
        <w:rPr>
          <w:rFonts w:ascii="Calibri" w:eastAsia="Calibri" w:hAnsi="Calibri" w:cs="Calibri"/>
          <w:bCs/>
        </w:rPr>
      </w:pPr>
      <w:r w:rsidRPr="009A1ED4">
        <w:rPr>
          <w:rFonts w:ascii="Calibri" w:eastAsia="Calibri" w:hAnsi="Calibri" w:cs="Calibri"/>
          <w:bCs/>
        </w:rPr>
        <w:t xml:space="preserve">Once students have successfully completed </w:t>
      </w:r>
      <w:r w:rsidR="00F91F96">
        <w:rPr>
          <w:rFonts w:ascii="Calibri" w:eastAsia="Calibri" w:hAnsi="Calibri" w:cs="Calibri"/>
          <w:bCs/>
        </w:rPr>
        <w:t>CPC</w:t>
      </w:r>
      <w:r w:rsidR="00BF635E">
        <w:rPr>
          <w:rFonts w:ascii="Calibri" w:eastAsia="Calibri" w:hAnsi="Calibri" w:cs="Calibri"/>
          <w:bCs/>
        </w:rPr>
        <w:t>5</w:t>
      </w:r>
      <w:r w:rsidR="00F91F96">
        <w:rPr>
          <w:rFonts w:ascii="Calibri" w:eastAsia="Calibri" w:hAnsi="Calibri" w:cs="Calibri"/>
          <w:bCs/>
        </w:rPr>
        <w:t>0220</w:t>
      </w:r>
      <w:r w:rsidRPr="009A1ED4">
        <w:rPr>
          <w:rFonts w:ascii="Calibri" w:eastAsia="Calibri" w:hAnsi="Calibri" w:cs="Calibri"/>
          <w:bCs/>
        </w:rPr>
        <w:t xml:space="preserve"> </w:t>
      </w:r>
      <w:r w:rsidR="00BF635E">
        <w:rPr>
          <w:rFonts w:ascii="Calibri" w:eastAsia="Calibri" w:hAnsi="Calibri" w:cs="Calibri"/>
          <w:bCs/>
        </w:rPr>
        <w:t>Diploma of Building and Construction (Building)</w:t>
      </w:r>
      <w:r w:rsidRPr="009A1ED4">
        <w:rPr>
          <w:rFonts w:ascii="Calibri" w:eastAsia="Calibri" w:hAnsi="Calibri" w:cs="Calibri"/>
          <w:bCs/>
        </w:rPr>
        <w:t>, they can apply for various roles across management positions that have supervisory performance accountabilities. The further study pathways available to students who undertake this qualification include:</w:t>
      </w:r>
    </w:p>
    <w:p w14:paraId="10E45CA4" w14:textId="77777777" w:rsidR="009A1ED4" w:rsidRPr="009A1ED4" w:rsidRDefault="009A1ED4" w:rsidP="009A1ED4">
      <w:pPr>
        <w:spacing w:after="0" w:line="276" w:lineRule="auto"/>
        <w:contextualSpacing/>
        <w:jc w:val="both"/>
        <w:rPr>
          <w:rFonts w:ascii="Calibri" w:eastAsia="Calibri" w:hAnsi="Calibri" w:cs="Calibri"/>
          <w:bCs/>
        </w:rPr>
      </w:pPr>
    </w:p>
    <w:p w14:paraId="1163E2C5" w14:textId="29D37DC6" w:rsidR="009511CB" w:rsidRPr="009511CB" w:rsidRDefault="00AB1442" w:rsidP="009511CB">
      <w:pPr>
        <w:numPr>
          <w:ilvl w:val="0"/>
          <w:numId w:val="2"/>
        </w:numPr>
        <w:spacing w:after="0" w:line="276" w:lineRule="auto"/>
        <w:contextualSpacing/>
        <w:jc w:val="both"/>
        <w:rPr>
          <w:rFonts w:ascii="Calibri" w:eastAsia="Calibri" w:hAnsi="Calibri" w:cs="Calibri"/>
          <w:bCs/>
        </w:rPr>
      </w:pPr>
      <w:r>
        <w:rPr>
          <w:rFonts w:ascii="Calibri" w:eastAsia="Calibri" w:hAnsi="Calibri" w:cs="Calibri"/>
          <w:bCs/>
        </w:rPr>
        <w:t xml:space="preserve">Higher Education programs </w:t>
      </w:r>
      <w:r w:rsidR="003D7954">
        <w:rPr>
          <w:rFonts w:ascii="Calibri" w:eastAsia="Calibri" w:hAnsi="Calibri" w:cs="Calibri"/>
          <w:bCs/>
        </w:rPr>
        <w:t xml:space="preserve">with other education providers </w:t>
      </w:r>
      <w:r>
        <w:rPr>
          <w:rFonts w:ascii="Calibri" w:eastAsia="Calibri" w:hAnsi="Calibri" w:cs="Calibri"/>
          <w:bCs/>
        </w:rPr>
        <w:t>within the Buildi</w:t>
      </w:r>
      <w:r w:rsidR="003D7954">
        <w:rPr>
          <w:rFonts w:ascii="Calibri" w:eastAsia="Calibri" w:hAnsi="Calibri" w:cs="Calibri"/>
          <w:bCs/>
        </w:rPr>
        <w:t>ng and Construction sector, subject to meeting entry requirements of the intended qualification</w:t>
      </w:r>
      <w:r w:rsidR="009511CB" w:rsidRPr="009511CB">
        <w:rPr>
          <w:rFonts w:ascii="Calibri" w:eastAsia="Calibri" w:hAnsi="Calibri" w:cs="Calibri"/>
          <w:bCs/>
        </w:rPr>
        <w:t>.</w:t>
      </w:r>
    </w:p>
    <w:p w14:paraId="7F37206B" w14:textId="7256878C" w:rsidR="00CC4738" w:rsidRDefault="00CC4738" w:rsidP="00372ED8">
      <w:pPr>
        <w:spacing w:after="0" w:line="276" w:lineRule="auto"/>
        <w:contextualSpacing/>
        <w:jc w:val="both"/>
        <w:rPr>
          <w:sz w:val="8"/>
          <w:szCs w:val="8"/>
        </w:rPr>
      </w:pPr>
    </w:p>
    <w:p w14:paraId="7C9B05FC" w14:textId="77777777" w:rsidR="00F876F4" w:rsidRPr="00E32318" w:rsidRDefault="00F876F4" w:rsidP="00372ED8">
      <w:pPr>
        <w:spacing w:after="0" w:line="276" w:lineRule="auto"/>
        <w:contextualSpacing/>
        <w:jc w:val="both"/>
        <w:rPr>
          <w:sz w:val="8"/>
          <w:szCs w:val="8"/>
        </w:rPr>
      </w:pPr>
    </w:p>
    <w:p w14:paraId="1D319624" w14:textId="42F19798" w:rsidR="00667A33" w:rsidRPr="00E04D6F" w:rsidRDefault="00E04D6F" w:rsidP="00372ED8">
      <w:pPr>
        <w:spacing w:after="0" w:line="276" w:lineRule="auto"/>
        <w:contextualSpacing/>
        <w:jc w:val="both"/>
        <w:rPr>
          <w:b/>
          <w:bCs/>
        </w:rPr>
      </w:pPr>
      <w:r w:rsidRPr="00E04D6F">
        <w:rPr>
          <w:b/>
          <w:bCs/>
        </w:rPr>
        <w:t>Course Structure:</w:t>
      </w:r>
    </w:p>
    <w:p w14:paraId="49517670" w14:textId="553986D2" w:rsidR="00E04D6F" w:rsidRPr="00E32318" w:rsidRDefault="00E04D6F" w:rsidP="00372ED8">
      <w:pPr>
        <w:spacing w:after="0" w:line="276" w:lineRule="auto"/>
        <w:contextualSpacing/>
        <w:jc w:val="both"/>
        <w:rPr>
          <w:sz w:val="6"/>
          <w:szCs w:val="6"/>
        </w:rPr>
      </w:pPr>
    </w:p>
    <w:p w14:paraId="1AF601DB" w14:textId="1099E410" w:rsidR="00E04D6F" w:rsidRDefault="00E04D6F" w:rsidP="00372ED8">
      <w:pPr>
        <w:spacing w:after="0" w:line="276" w:lineRule="auto"/>
        <w:contextualSpacing/>
        <w:jc w:val="both"/>
      </w:pPr>
      <w:r>
        <w:t xml:space="preserve">A total of </w:t>
      </w:r>
      <w:r w:rsidR="00BF635E">
        <w:t>27</w:t>
      </w:r>
      <w:r>
        <w:t xml:space="preserve"> Units (</w:t>
      </w:r>
      <w:r w:rsidR="00D5688C">
        <w:t>2</w:t>
      </w:r>
      <w:r w:rsidR="00BF635E">
        <w:t>4</w:t>
      </w:r>
      <w:r>
        <w:t xml:space="preserve"> Core and </w:t>
      </w:r>
      <w:r w:rsidR="00BF635E">
        <w:t>3</w:t>
      </w:r>
      <w:r>
        <w:t xml:space="preserve"> electives) must be completed and deemed competent to achieve the qualification </w:t>
      </w:r>
      <w:r w:rsidR="00BF635E">
        <w:rPr>
          <w:rFonts w:ascii="Calibri" w:eastAsia="Calibri" w:hAnsi="Calibri" w:cs="Calibri"/>
          <w:bCs/>
        </w:rPr>
        <w:t>CPC50220</w:t>
      </w:r>
      <w:r w:rsidR="00BF635E" w:rsidRPr="009A1ED4">
        <w:rPr>
          <w:rFonts w:ascii="Calibri" w:eastAsia="Calibri" w:hAnsi="Calibri" w:cs="Calibri"/>
          <w:bCs/>
        </w:rPr>
        <w:t xml:space="preserve"> </w:t>
      </w:r>
      <w:r w:rsidR="00BF635E">
        <w:rPr>
          <w:rFonts w:ascii="Calibri" w:eastAsia="Calibri" w:hAnsi="Calibri" w:cs="Calibri"/>
          <w:bCs/>
        </w:rPr>
        <w:t>Diploma of Building and Construction</w:t>
      </w:r>
      <w:r w:rsidR="00BF635E">
        <w:rPr>
          <w:rFonts w:ascii="Calibri" w:eastAsia="Calibri" w:hAnsi="Calibri" w:cs="Calibri"/>
          <w:bCs/>
        </w:rPr>
        <w:t xml:space="preserve"> </w:t>
      </w:r>
      <w:r w:rsidR="00BF635E">
        <w:rPr>
          <w:rFonts w:ascii="Calibri" w:eastAsia="Calibri" w:hAnsi="Calibri" w:cs="Calibri"/>
          <w:bCs/>
        </w:rPr>
        <w:t>(Building)</w:t>
      </w:r>
      <w:r>
        <w:t xml:space="preserve">. </w:t>
      </w:r>
      <w:r w:rsidRPr="00E04D6F">
        <w:t xml:space="preserve">Participants who achieve competency in any unit/s will receive a Statement of Attainment (provided USI is verified) for that unit/s without completing all </w:t>
      </w:r>
      <w:r w:rsidR="00BF635E">
        <w:t>27</w:t>
      </w:r>
      <w:r w:rsidRPr="00E04D6F">
        <w:t xml:space="preserve"> units in the qualification. Students completing all the required units of competency will attain full qualification</w:t>
      </w:r>
      <w:r>
        <w:t>.</w:t>
      </w:r>
    </w:p>
    <w:p w14:paraId="73B1EC1E" w14:textId="77777777" w:rsidR="00DC7C7B" w:rsidRDefault="00DC7C7B" w:rsidP="00372ED8">
      <w:pPr>
        <w:spacing w:after="0" w:line="276" w:lineRule="auto"/>
        <w:contextualSpacing/>
        <w:jc w:val="both"/>
      </w:pPr>
    </w:p>
    <w:tbl>
      <w:tblPr>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721"/>
        <w:gridCol w:w="5915"/>
        <w:gridCol w:w="1546"/>
      </w:tblGrid>
      <w:tr w:rsidR="008E0CB9" w:rsidRPr="000111BB" w14:paraId="509CDFB7" w14:textId="77777777" w:rsidTr="008E0CB9">
        <w:trPr>
          <w:trHeight w:val="746"/>
          <w:tblHeader/>
        </w:trPr>
        <w:tc>
          <w:tcPr>
            <w:tcW w:w="937" w:type="pct"/>
            <w:shd w:val="clear" w:color="auto" w:fill="808080"/>
          </w:tcPr>
          <w:p w14:paraId="75BD2FB4" w14:textId="77777777" w:rsidR="008E0CB9" w:rsidRPr="000111BB" w:rsidRDefault="008E0CB9" w:rsidP="00FD06B1">
            <w:pPr>
              <w:spacing w:beforeLines="60" w:before="144" w:afterLines="60" w:after="144"/>
              <w:rPr>
                <w:rFonts w:ascii="Calibri" w:hAnsi="Calibri" w:cs="Calibri"/>
                <w:b/>
                <w:color w:val="FFFFFF"/>
                <w:sz w:val="18"/>
                <w:szCs w:val="16"/>
              </w:rPr>
            </w:pPr>
            <w:r w:rsidRPr="000111BB">
              <w:rPr>
                <w:rFonts w:ascii="Calibri" w:hAnsi="Calibri" w:cs="Calibri"/>
                <w:b/>
                <w:color w:val="FFFFFF"/>
                <w:sz w:val="18"/>
                <w:szCs w:val="16"/>
              </w:rPr>
              <w:t>Code</w:t>
            </w:r>
          </w:p>
        </w:tc>
        <w:tc>
          <w:tcPr>
            <w:tcW w:w="3221" w:type="pct"/>
            <w:shd w:val="clear" w:color="auto" w:fill="808080"/>
          </w:tcPr>
          <w:p w14:paraId="75DC05D9" w14:textId="77777777" w:rsidR="008E0CB9" w:rsidRPr="000111BB" w:rsidRDefault="008E0CB9" w:rsidP="00FD06B1">
            <w:pPr>
              <w:spacing w:beforeLines="60" w:before="144" w:afterLines="60" w:after="144"/>
              <w:rPr>
                <w:rFonts w:ascii="Calibri" w:hAnsi="Calibri" w:cs="Calibri"/>
                <w:b/>
                <w:color w:val="FFFFFF"/>
                <w:sz w:val="18"/>
                <w:szCs w:val="16"/>
              </w:rPr>
            </w:pPr>
            <w:r w:rsidRPr="000111BB">
              <w:rPr>
                <w:rFonts w:ascii="Calibri" w:hAnsi="Calibri" w:cs="Calibri"/>
                <w:b/>
                <w:color w:val="FFFFFF"/>
                <w:sz w:val="18"/>
                <w:szCs w:val="16"/>
              </w:rPr>
              <w:t xml:space="preserve">Title </w:t>
            </w:r>
          </w:p>
        </w:tc>
        <w:tc>
          <w:tcPr>
            <w:tcW w:w="842" w:type="pct"/>
            <w:shd w:val="clear" w:color="auto" w:fill="808080"/>
          </w:tcPr>
          <w:p w14:paraId="14D9409C" w14:textId="77777777" w:rsidR="008E0CB9" w:rsidRPr="000111BB" w:rsidRDefault="008E0CB9" w:rsidP="00FD06B1">
            <w:pPr>
              <w:spacing w:beforeLines="60" w:before="144" w:afterLines="60" w:after="144"/>
              <w:rPr>
                <w:rFonts w:ascii="Calibri" w:hAnsi="Calibri" w:cs="Calibri"/>
                <w:b/>
                <w:color w:val="FFFFFF"/>
                <w:sz w:val="18"/>
                <w:szCs w:val="16"/>
              </w:rPr>
            </w:pPr>
            <w:r w:rsidRPr="000111BB">
              <w:rPr>
                <w:rFonts w:ascii="Calibri" w:hAnsi="Calibri" w:cs="Calibri"/>
                <w:b/>
                <w:color w:val="FFFFFF"/>
                <w:sz w:val="18"/>
                <w:szCs w:val="16"/>
              </w:rPr>
              <w:t>Core/ Elective</w:t>
            </w:r>
          </w:p>
        </w:tc>
      </w:tr>
      <w:tr w:rsidR="0043133B" w:rsidRPr="000111BB" w14:paraId="4766DDB2" w14:textId="77777777" w:rsidTr="009A1ED4">
        <w:trPr>
          <w:trHeight w:val="224"/>
        </w:trPr>
        <w:tc>
          <w:tcPr>
            <w:tcW w:w="937" w:type="pct"/>
          </w:tcPr>
          <w:p w14:paraId="5F1B1891" w14:textId="36DADC5C" w:rsidR="0043133B" w:rsidRPr="0043133B" w:rsidRDefault="0043133B" w:rsidP="0043133B">
            <w:pPr>
              <w:spacing w:beforeLines="60" w:before="144" w:afterLines="60" w:after="144"/>
            </w:pPr>
            <w:r w:rsidRPr="0043133B">
              <w:t>BSBOPS504</w:t>
            </w:r>
          </w:p>
        </w:tc>
        <w:tc>
          <w:tcPr>
            <w:tcW w:w="3221" w:type="pct"/>
          </w:tcPr>
          <w:p w14:paraId="2D8A5A9A" w14:textId="05448274" w:rsidR="0043133B" w:rsidRPr="0043133B" w:rsidRDefault="0043133B" w:rsidP="0043133B">
            <w:pPr>
              <w:tabs>
                <w:tab w:val="left" w:pos="33"/>
              </w:tabs>
              <w:spacing w:beforeLines="60" w:before="144" w:afterLines="60" w:after="144"/>
            </w:pPr>
            <w:r w:rsidRPr="0043133B">
              <w:t>Manage business risk</w:t>
            </w:r>
          </w:p>
        </w:tc>
        <w:tc>
          <w:tcPr>
            <w:tcW w:w="842" w:type="pct"/>
            <w:vAlign w:val="center"/>
          </w:tcPr>
          <w:p w14:paraId="2FC29D50" w14:textId="005B6B65" w:rsidR="0043133B" w:rsidRPr="009A1ED4" w:rsidRDefault="0043133B" w:rsidP="0043133B">
            <w:pPr>
              <w:spacing w:after="0"/>
            </w:pPr>
            <w:r w:rsidRPr="009A1ED4">
              <w:rPr>
                <w:rFonts w:ascii="Calibri" w:hAnsi="Calibri" w:cs="Calibri"/>
              </w:rPr>
              <w:t>Core</w:t>
            </w:r>
          </w:p>
        </w:tc>
      </w:tr>
      <w:tr w:rsidR="0043133B" w:rsidRPr="000111BB" w14:paraId="30C2F799" w14:textId="77777777" w:rsidTr="009A1ED4">
        <w:trPr>
          <w:trHeight w:val="224"/>
        </w:trPr>
        <w:tc>
          <w:tcPr>
            <w:tcW w:w="937" w:type="pct"/>
          </w:tcPr>
          <w:p w14:paraId="5053BE0B" w14:textId="304D4521" w:rsidR="0043133B" w:rsidRPr="0043133B" w:rsidRDefault="0043133B" w:rsidP="0043133B">
            <w:pPr>
              <w:spacing w:beforeLines="60" w:before="144" w:afterLines="60" w:after="144"/>
            </w:pPr>
            <w:r w:rsidRPr="0043133B">
              <w:t>BSBWHS513</w:t>
            </w:r>
          </w:p>
        </w:tc>
        <w:tc>
          <w:tcPr>
            <w:tcW w:w="3221" w:type="pct"/>
          </w:tcPr>
          <w:p w14:paraId="37AE97AB" w14:textId="1F61C42E" w:rsidR="0043133B" w:rsidRPr="0043133B" w:rsidRDefault="0043133B" w:rsidP="0043133B">
            <w:pPr>
              <w:tabs>
                <w:tab w:val="left" w:pos="33"/>
              </w:tabs>
              <w:spacing w:beforeLines="60" w:before="144" w:afterLines="60" w:after="144"/>
            </w:pPr>
            <w:r w:rsidRPr="0043133B">
              <w:t>Lead WHS risk management</w:t>
            </w:r>
          </w:p>
        </w:tc>
        <w:tc>
          <w:tcPr>
            <w:tcW w:w="842" w:type="pct"/>
            <w:vAlign w:val="center"/>
          </w:tcPr>
          <w:p w14:paraId="3FFD55A3" w14:textId="1472BF97" w:rsidR="0043133B" w:rsidRPr="009A1ED4" w:rsidRDefault="0043133B" w:rsidP="0043133B">
            <w:pPr>
              <w:spacing w:beforeLines="60" w:before="144" w:afterLines="60" w:after="144"/>
            </w:pPr>
            <w:r w:rsidRPr="009A1ED4">
              <w:rPr>
                <w:rFonts w:ascii="Calibri" w:hAnsi="Calibri" w:cs="Calibri"/>
              </w:rPr>
              <w:t>Core</w:t>
            </w:r>
          </w:p>
        </w:tc>
      </w:tr>
      <w:tr w:rsidR="0043133B" w:rsidRPr="000111BB" w14:paraId="42A6E45B" w14:textId="77777777" w:rsidTr="009A1ED4">
        <w:trPr>
          <w:trHeight w:val="224"/>
        </w:trPr>
        <w:tc>
          <w:tcPr>
            <w:tcW w:w="937" w:type="pct"/>
          </w:tcPr>
          <w:p w14:paraId="42A172B0" w14:textId="04AFCD3D" w:rsidR="0043133B" w:rsidRPr="0043133B" w:rsidRDefault="0043133B" w:rsidP="0043133B">
            <w:pPr>
              <w:spacing w:beforeLines="60" w:before="144" w:afterLines="60" w:after="144"/>
            </w:pPr>
            <w:r w:rsidRPr="0043133B">
              <w:t>CPCCBC4001</w:t>
            </w:r>
          </w:p>
        </w:tc>
        <w:tc>
          <w:tcPr>
            <w:tcW w:w="3221" w:type="pct"/>
          </w:tcPr>
          <w:p w14:paraId="46B99611" w14:textId="67615D4C" w:rsidR="0043133B" w:rsidRPr="0043133B" w:rsidRDefault="0043133B" w:rsidP="0043133B">
            <w:pPr>
              <w:tabs>
                <w:tab w:val="left" w:pos="33"/>
              </w:tabs>
              <w:spacing w:beforeLines="60" w:before="144" w:afterLines="60" w:after="144"/>
            </w:pPr>
            <w:r w:rsidRPr="0043133B">
              <w:t>Apply building codes and standards to the construction process for Class 1 and 10 buildings</w:t>
            </w:r>
          </w:p>
        </w:tc>
        <w:tc>
          <w:tcPr>
            <w:tcW w:w="842" w:type="pct"/>
            <w:vAlign w:val="center"/>
          </w:tcPr>
          <w:p w14:paraId="58BED2A1" w14:textId="194F3E23" w:rsidR="0043133B" w:rsidRPr="009A1ED4" w:rsidRDefault="0043133B" w:rsidP="0043133B">
            <w:pPr>
              <w:spacing w:beforeLines="60" w:before="144" w:afterLines="60" w:after="144"/>
            </w:pPr>
            <w:r w:rsidRPr="009A1ED4">
              <w:rPr>
                <w:rFonts w:ascii="Calibri" w:hAnsi="Calibri" w:cs="Calibri"/>
              </w:rPr>
              <w:t>Core</w:t>
            </w:r>
          </w:p>
        </w:tc>
      </w:tr>
      <w:tr w:rsidR="0043133B" w:rsidRPr="000111BB" w14:paraId="09BFE211" w14:textId="77777777" w:rsidTr="009A1ED4">
        <w:trPr>
          <w:trHeight w:val="68"/>
        </w:trPr>
        <w:tc>
          <w:tcPr>
            <w:tcW w:w="937" w:type="pct"/>
          </w:tcPr>
          <w:p w14:paraId="17935A6B" w14:textId="1D451908" w:rsidR="0043133B" w:rsidRPr="0043133B" w:rsidRDefault="0043133B" w:rsidP="0043133B">
            <w:pPr>
              <w:spacing w:beforeLines="60" w:before="144" w:afterLines="60" w:after="144"/>
            </w:pPr>
            <w:r w:rsidRPr="0043133B">
              <w:t>CPCCBC4003</w:t>
            </w:r>
          </w:p>
        </w:tc>
        <w:tc>
          <w:tcPr>
            <w:tcW w:w="3221" w:type="pct"/>
          </w:tcPr>
          <w:p w14:paraId="0B0068CE" w14:textId="7EDE1B5F" w:rsidR="0043133B" w:rsidRPr="0043133B" w:rsidRDefault="0043133B" w:rsidP="0043133B">
            <w:pPr>
              <w:tabs>
                <w:tab w:val="left" w:pos="33"/>
              </w:tabs>
              <w:spacing w:beforeLines="60" w:before="144" w:afterLines="60" w:after="144"/>
            </w:pPr>
            <w:r w:rsidRPr="0043133B">
              <w:t xml:space="preserve">Select, </w:t>
            </w:r>
            <w:proofErr w:type="gramStart"/>
            <w:r w:rsidRPr="0043133B">
              <w:t>prepare</w:t>
            </w:r>
            <w:proofErr w:type="gramEnd"/>
            <w:r w:rsidRPr="0043133B">
              <w:t xml:space="preserve"> and administer a construction contract</w:t>
            </w:r>
          </w:p>
        </w:tc>
        <w:tc>
          <w:tcPr>
            <w:tcW w:w="842" w:type="pct"/>
            <w:vAlign w:val="center"/>
          </w:tcPr>
          <w:p w14:paraId="29C16793" w14:textId="00467395" w:rsidR="0043133B" w:rsidRPr="009A1ED4" w:rsidRDefault="0043133B" w:rsidP="0043133B">
            <w:pPr>
              <w:spacing w:beforeLines="60" w:before="144" w:afterLines="60" w:after="144"/>
            </w:pPr>
            <w:r w:rsidRPr="009A1ED4">
              <w:rPr>
                <w:rFonts w:ascii="Calibri" w:hAnsi="Calibri" w:cs="Calibri"/>
              </w:rPr>
              <w:t>Core</w:t>
            </w:r>
          </w:p>
        </w:tc>
      </w:tr>
      <w:tr w:rsidR="0043133B" w:rsidRPr="000111BB" w14:paraId="5E0715AA" w14:textId="77777777" w:rsidTr="009A1ED4">
        <w:trPr>
          <w:trHeight w:val="68"/>
        </w:trPr>
        <w:tc>
          <w:tcPr>
            <w:tcW w:w="937" w:type="pct"/>
          </w:tcPr>
          <w:p w14:paraId="2150674A" w14:textId="29CD190E" w:rsidR="0043133B" w:rsidRPr="0043133B" w:rsidRDefault="0043133B" w:rsidP="0043133B">
            <w:pPr>
              <w:spacing w:beforeLines="60" w:before="144" w:afterLines="60" w:after="144"/>
            </w:pPr>
            <w:r w:rsidRPr="0043133B">
              <w:t>CPCCBC4004</w:t>
            </w:r>
          </w:p>
        </w:tc>
        <w:tc>
          <w:tcPr>
            <w:tcW w:w="3221" w:type="pct"/>
          </w:tcPr>
          <w:p w14:paraId="249755CE" w14:textId="3C46E635" w:rsidR="0043133B" w:rsidRPr="0043133B" w:rsidRDefault="0043133B" w:rsidP="0043133B">
            <w:pPr>
              <w:tabs>
                <w:tab w:val="left" w:pos="33"/>
              </w:tabs>
              <w:spacing w:beforeLines="60" w:before="144" w:afterLines="60" w:after="144"/>
            </w:pPr>
            <w:r w:rsidRPr="0043133B">
              <w:t>Identify and produce estimated costs for building and construction projects</w:t>
            </w:r>
          </w:p>
        </w:tc>
        <w:tc>
          <w:tcPr>
            <w:tcW w:w="842" w:type="pct"/>
            <w:vAlign w:val="center"/>
          </w:tcPr>
          <w:p w14:paraId="5CC38418" w14:textId="53D11C9F" w:rsidR="0043133B" w:rsidRPr="009A1ED4" w:rsidRDefault="0043133B" w:rsidP="0043133B">
            <w:pPr>
              <w:spacing w:beforeLines="60" w:before="144" w:afterLines="60" w:after="144"/>
            </w:pPr>
            <w:r w:rsidRPr="009A1ED4">
              <w:rPr>
                <w:rFonts w:ascii="Calibri" w:hAnsi="Calibri" w:cs="Calibri"/>
              </w:rPr>
              <w:t>Core</w:t>
            </w:r>
          </w:p>
        </w:tc>
      </w:tr>
      <w:tr w:rsidR="0043133B" w:rsidRPr="000111BB" w14:paraId="6FD9FEDF" w14:textId="77777777" w:rsidTr="009A1ED4">
        <w:trPr>
          <w:trHeight w:val="68"/>
        </w:trPr>
        <w:tc>
          <w:tcPr>
            <w:tcW w:w="937" w:type="pct"/>
          </w:tcPr>
          <w:p w14:paraId="50D7011C" w14:textId="06FA5AF8" w:rsidR="0043133B" w:rsidRPr="0043133B" w:rsidRDefault="0043133B" w:rsidP="0043133B">
            <w:pPr>
              <w:spacing w:beforeLines="60" w:before="144" w:afterLines="60" w:after="144"/>
            </w:pPr>
            <w:r w:rsidRPr="0043133B">
              <w:t>CPCCBC4005</w:t>
            </w:r>
          </w:p>
        </w:tc>
        <w:tc>
          <w:tcPr>
            <w:tcW w:w="3221" w:type="pct"/>
          </w:tcPr>
          <w:p w14:paraId="63526DA8" w14:textId="4D809C28" w:rsidR="0043133B" w:rsidRPr="0043133B" w:rsidRDefault="0043133B" w:rsidP="0043133B">
            <w:pPr>
              <w:tabs>
                <w:tab w:val="left" w:pos="33"/>
              </w:tabs>
              <w:spacing w:beforeLines="60" w:before="144" w:afterLines="60" w:after="144"/>
            </w:pPr>
            <w:r w:rsidRPr="0043133B">
              <w:t>Produce labour and material schedules for ordering</w:t>
            </w:r>
          </w:p>
        </w:tc>
        <w:tc>
          <w:tcPr>
            <w:tcW w:w="842" w:type="pct"/>
            <w:vAlign w:val="center"/>
          </w:tcPr>
          <w:p w14:paraId="6C45A1BE" w14:textId="0D5D1C7A" w:rsidR="0043133B" w:rsidRPr="009A1ED4" w:rsidRDefault="0043133B" w:rsidP="0043133B">
            <w:pPr>
              <w:spacing w:beforeLines="60" w:before="144" w:afterLines="60" w:after="144"/>
            </w:pPr>
            <w:r w:rsidRPr="009A1ED4">
              <w:rPr>
                <w:rFonts w:ascii="Calibri" w:hAnsi="Calibri" w:cs="Calibri"/>
              </w:rPr>
              <w:t>Core</w:t>
            </w:r>
          </w:p>
        </w:tc>
      </w:tr>
      <w:tr w:rsidR="0043133B" w:rsidRPr="000111BB" w14:paraId="1D3DF2E2" w14:textId="77777777" w:rsidTr="009A1ED4">
        <w:trPr>
          <w:trHeight w:val="68"/>
        </w:trPr>
        <w:tc>
          <w:tcPr>
            <w:tcW w:w="937" w:type="pct"/>
          </w:tcPr>
          <w:p w14:paraId="19139352" w14:textId="59F38FFC" w:rsidR="0043133B" w:rsidRPr="0043133B" w:rsidRDefault="0043133B" w:rsidP="0043133B">
            <w:pPr>
              <w:spacing w:beforeLines="60" w:before="144" w:afterLines="60" w:after="144"/>
            </w:pPr>
            <w:r w:rsidRPr="0043133B">
              <w:t>CPCCBC4008</w:t>
            </w:r>
          </w:p>
        </w:tc>
        <w:tc>
          <w:tcPr>
            <w:tcW w:w="3221" w:type="pct"/>
          </w:tcPr>
          <w:p w14:paraId="1F077041" w14:textId="6FE78E23" w:rsidR="0043133B" w:rsidRPr="0043133B" w:rsidRDefault="0043133B" w:rsidP="0043133B">
            <w:pPr>
              <w:tabs>
                <w:tab w:val="left" w:pos="33"/>
              </w:tabs>
              <w:spacing w:beforeLines="60" w:before="144" w:afterLines="60" w:after="144"/>
            </w:pPr>
            <w:r w:rsidRPr="0043133B">
              <w:t>Supervise site communication and administration processes for building and construction projects</w:t>
            </w:r>
          </w:p>
        </w:tc>
        <w:tc>
          <w:tcPr>
            <w:tcW w:w="842" w:type="pct"/>
            <w:vAlign w:val="center"/>
          </w:tcPr>
          <w:p w14:paraId="7B6A41AE" w14:textId="30DF92FA" w:rsidR="0043133B" w:rsidRPr="009A1ED4" w:rsidRDefault="0043133B" w:rsidP="0043133B">
            <w:pPr>
              <w:spacing w:beforeLines="60" w:before="144" w:afterLines="60" w:after="144"/>
            </w:pPr>
            <w:r w:rsidRPr="009A1ED4">
              <w:rPr>
                <w:rFonts w:ascii="Calibri" w:hAnsi="Calibri" w:cs="Calibri"/>
              </w:rPr>
              <w:t>Core</w:t>
            </w:r>
          </w:p>
        </w:tc>
      </w:tr>
      <w:tr w:rsidR="0043133B" w:rsidRPr="000111BB" w14:paraId="372D71AF" w14:textId="77777777" w:rsidTr="009A1ED4">
        <w:trPr>
          <w:trHeight w:val="68"/>
        </w:trPr>
        <w:tc>
          <w:tcPr>
            <w:tcW w:w="937" w:type="pct"/>
          </w:tcPr>
          <w:p w14:paraId="6C9B7BCD" w14:textId="2144BB85" w:rsidR="0043133B" w:rsidRPr="0043133B" w:rsidRDefault="0043133B" w:rsidP="0043133B">
            <w:pPr>
              <w:spacing w:beforeLines="60" w:before="144" w:afterLines="60" w:after="144"/>
            </w:pPr>
            <w:r w:rsidRPr="0043133B">
              <w:t>CPCCBC4009</w:t>
            </w:r>
          </w:p>
        </w:tc>
        <w:tc>
          <w:tcPr>
            <w:tcW w:w="3221" w:type="pct"/>
          </w:tcPr>
          <w:p w14:paraId="23E94E0D" w14:textId="64DA98E2" w:rsidR="0043133B" w:rsidRPr="0043133B" w:rsidRDefault="0043133B" w:rsidP="0043133B">
            <w:pPr>
              <w:tabs>
                <w:tab w:val="left" w:pos="33"/>
              </w:tabs>
              <w:spacing w:beforeLines="60" w:before="144" w:afterLines="60" w:after="144"/>
            </w:pPr>
            <w:r w:rsidRPr="0043133B">
              <w:t>Apply legal requirements to building and construction projects</w:t>
            </w:r>
          </w:p>
        </w:tc>
        <w:tc>
          <w:tcPr>
            <w:tcW w:w="842" w:type="pct"/>
            <w:vAlign w:val="center"/>
          </w:tcPr>
          <w:p w14:paraId="486415D3" w14:textId="5002BE2E" w:rsidR="0043133B" w:rsidRPr="009A1ED4" w:rsidRDefault="0043133B" w:rsidP="0043133B">
            <w:pPr>
              <w:spacing w:beforeLines="60" w:before="144" w:afterLines="60" w:after="144"/>
            </w:pPr>
            <w:r w:rsidRPr="009A1ED4">
              <w:rPr>
                <w:rFonts w:ascii="Calibri" w:hAnsi="Calibri" w:cs="Calibri"/>
              </w:rPr>
              <w:t>Core</w:t>
            </w:r>
          </w:p>
        </w:tc>
      </w:tr>
      <w:tr w:rsidR="0043133B" w:rsidRPr="000111BB" w14:paraId="6DD57FFF" w14:textId="77777777" w:rsidTr="009A1ED4">
        <w:trPr>
          <w:trHeight w:val="68"/>
        </w:trPr>
        <w:tc>
          <w:tcPr>
            <w:tcW w:w="937" w:type="pct"/>
          </w:tcPr>
          <w:p w14:paraId="1DD19ECD" w14:textId="3127FF74" w:rsidR="0043133B" w:rsidRPr="0043133B" w:rsidRDefault="0043133B" w:rsidP="0043133B">
            <w:pPr>
              <w:spacing w:beforeLines="60" w:before="144" w:afterLines="60" w:after="144"/>
            </w:pPr>
            <w:r w:rsidRPr="0043133B">
              <w:t>CPCCBC4010*</w:t>
            </w:r>
          </w:p>
        </w:tc>
        <w:tc>
          <w:tcPr>
            <w:tcW w:w="3221" w:type="pct"/>
          </w:tcPr>
          <w:p w14:paraId="0DC5DB51" w14:textId="667FC773" w:rsidR="0043133B" w:rsidRPr="0043133B" w:rsidRDefault="0043133B" w:rsidP="0043133B">
            <w:pPr>
              <w:tabs>
                <w:tab w:val="left" w:pos="33"/>
              </w:tabs>
              <w:spacing w:beforeLines="60" w:before="144" w:afterLines="60" w:after="144"/>
            </w:pPr>
            <w:r w:rsidRPr="0043133B">
              <w:t>Apply structural principles to residential and commercial constructions</w:t>
            </w:r>
          </w:p>
        </w:tc>
        <w:tc>
          <w:tcPr>
            <w:tcW w:w="842" w:type="pct"/>
            <w:vAlign w:val="center"/>
          </w:tcPr>
          <w:p w14:paraId="7A7B78C8" w14:textId="71DA1DEE" w:rsidR="0043133B" w:rsidRPr="009A1ED4" w:rsidRDefault="0043133B" w:rsidP="0043133B">
            <w:pPr>
              <w:spacing w:beforeLines="60" w:before="144" w:afterLines="60" w:after="144"/>
            </w:pPr>
            <w:r w:rsidRPr="009A1ED4">
              <w:rPr>
                <w:rFonts w:ascii="Calibri" w:hAnsi="Calibri" w:cs="Calibri"/>
              </w:rPr>
              <w:t>Core</w:t>
            </w:r>
          </w:p>
        </w:tc>
      </w:tr>
      <w:tr w:rsidR="0043133B" w:rsidRPr="000111BB" w14:paraId="03F9D695" w14:textId="77777777" w:rsidTr="009A1ED4">
        <w:trPr>
          <w:trHeight w:val="68"/>
        </w:trPr>
        <w:tc>
          <w:tcPr>
            <w:tcW w:w="937" w:type="pct"/>
          </w:tcPr>
          <w:p w14:paraId="329C56D8" w14:textId="4F137D77" w:rsidR="0043133B" w:rsidRPr="0043133B" w:rsidRDefault="0043133B" w:rsidP="0043133B">
            <w:pPr>
              <w:spacing w:beforeLines="60" w:before="144" w:afterLines="60" w:after="144"/>
            </w:pPr>
            <w:r w:rsidRPr="0043133B">
              <w:t>CPCCBC4012</w:t>
            </w:r>
          </w:p>
        </w:tc>
        <w:tc>
          <w:tcPr>
            <w:tcW w:w="3221" w:type="pct"/>
          </w:tcPr>
          <w:p w14:paraId="32BC6407" w14:textId="39C10D48" w:rsidR="0043133B" w:rsidRPr="0043133B" w:rsidRDefault="0043133B" w:rsidP="0043133B">
            <w:pPr>
              <w:tabs>
                <w:tab w:val="left" w:pos="33"/>
              </w:tabs>
              <w:spacing w:beforeLines="60" w:before="144" w:afterLines="60" w:after="144"/>
            </w:pPr>
            <w:r w:rsidRPr="0043133B">
              <w:t>Read and interpret plans and specifications</w:t>
            </w:r>
          </w:p>
        </w:tc>
        <w:tc>
          <w:tcPr>
            <w:tcW w:w="842" w:type="pct"/>
            <w:vAlign w:val="center"/>
          </w:tcPr>
          <w:p w14:paraId="005625EE" w14:textId="1C8F6AAB" w:rsidR="0043133B" w:rsidRPr="009A1ED4" w:rsidRDefault="0043133B" w:rsidP="0043133B">
            <w:pPr>
              <w:spacing w:beforeLines="60" w:before="144" w:afterLines="60" w:after="144"/>
            </w:pPr>
            <w:r w:rsidRPr="009A1ED4">
              <w:rPr>
                <w:rFonts w:ascii="Calibri" w:hAnsi="Calibri" w:cs="Calibri"/>
              </w:rPr>
              <w:t>Core</w:t>
            </w:r>
          </w:p>
        </w:tc>
      </w:tr>
      <w:tr w:rsidR="0043133B" w:rsidRPr="000111BB" w14:paraId="7BC0A978" w14:textId="77777777" w:rsidTr="009A1ED4">
        <w:trPr>
          <w:trHeight w:val="68"/>
        </w:trPr>
        <w:tc>
          <w:tcPr>
            <w:tcW w:w="937" w:type="pct"/>
          </w:tcPr>
          <w:p w14:paraId="22A9D1AC" w14:textId="3E274ED6" w:rsidR="0043133B" w:rsidRPr="0043133B" w:rsidRDefault="0043133B" w:rsidP="0043133B">
            <w:pPr>
              <w:spacing w:beforeLines="60" w:before="144" w:afterLines="60" w:after="144"/>
            </w:pPr>
            <w:r w:rsidRPr="0043133B">
              <w:lastRenderedPageBreak/>
              <w:t>CPCCBC4013</w:t>
            </w:r>
          </w:p>
        </w:tc>
        <w:tc>
          <w:tcPr>
            <w:tcW w:w="3221" w:type="pct"/>
          </w:tcPr>
          <w:p w14:paraId="67DD7687" w14:textId="05082CC1" w:rsidR="0043133B" w:rsidRPr="0043133B" w:rsidRDefault="0043133B" w:rsidP="0043133B">
            <w:pPr>
              <w:tabs>
                <w:tab w:val="left" w:pos="33"/>
              </w:tabs>
              <w:spacing w:beforeLines="60" w:before="144" w:afterLines="60" w:after="144"/>
            </w:pPr>
            <w:r w:rsidRPr="0043133B">
              <w:t>Prepare and evaluate tender documentation</w:t>
            </w:r>
          </w:p>
        </w:tc>
        <w:tc>
          <w:tcPr>
            <w:tcW w:w="842" w:type="pct"/>
            <w:vAlign w:val="center"/>
          </w:tcPr>
          <w:p w14:paraId="36191829" w14:textId="44FBE841" w:rsidR="0043133B" w:rsidRPr="009A1ED4" w:rsidRDefault="0043133B" w:rsidP="0043133B">
            <w:pPr>
              <w:spacing w:beforeLines="60" w:before="144" w:afterLines="60" w:after="144"/>
            </w:pPr>
            <w:r w:rsidRPr="009A1ED4">
              <w:rPr>
                <w:rFonts w:ascii="Calibri" w:hAnsi="Calibri" w:cs="Calibri"/>
              </w:rPr>
              <w:t>Core</w:t>
            </w:r>
          </w:p>
        </w:tc>
      </w:tr>
      <w:tr w:rsidR="0043133B" w:rsidRPr="000111BB" w14:paraId="60C0A3C2" w14:textId="77777777" w:rsidTr="009A1ED4">
        <w:trPr>
          <w:trHeight w:val="68"/>
        </w:trPr>
        <w:tc>
          <w:tcPr>
            <w:tcW w:w="937" w:type="pct"/>
          </w:tcPr>
          <w:p w14:paraId="293252DC" w14:textId="25A9A6C1" w:rsidR="0043133B" w:rsidRPr="0043133B" w:rsidRDefault="0043133B" w:rsidP="0043133B">
            <w:pPr>
              <w:spacing w:beforeLines="60" w:before="144" w:afterLines="60" w:after="144"/>
            </w:pPr>
            <w:r w:rsidRPr="0043133B">
              <w:t>CPCCBC4014</w:t>
            </w:r>
          </w:p>
        </w:tc>
        <w:tc>
          <w:tcPr>
            <w:tcW w:w="3221" w:type="pct"/>
          </w:tcPr>
          <w:p w14:paraId="0AA19BEA" w14:textId="786F0E41" w:rsidR="0043133B" w:rsidRPr="0043133B" w:rsidRDefault="0043133B" w:rsidP="0043133B">
            <w:pPr>
              <w:tabs>
                <w:tab w:val="left" w:pos="33"/>
              </w:tabs>
              <w:spacing w:beforeLines="60" w:before="144" w:afterLines="60" w:after="144"/>
            </w:pPr>
            <w:r w:rsidRPr="0043133B">
              <w:t>Prepare simple building sketches and drawings</w:t>
            </w:r>
          </w:p>
        </w:tc>
        <w:tc>
          <w:tcPr>
            <w:tcW w:w="842" w:type="pct"/>
            <w:vAlign w:val="center"/>
          </w:tcPr>
          <w:p w14:paraId="74E71940" w14:textId="0F09E00E" w:rsidR="0043133B" w:rsidRPr="009A1ED4" w:rsidRDefault="0043133B" w:rsidP="0043133B">
            <w:pPr>
              <w:spacing w:beforeLines="60" w:before="144" w:afterLines="60" w:after="144"/>
            </w:pPr>
            <w:r w:rsidRPr="009A1ED4">
              <w:rPr>
                <w:rFonts w:ascii="Calibri" w:hAnsi="Calibri" w:cs="Calibri"/>
              </w:rPr>
              <w:t>Core</w:t>
            </w:r>
          </w:p>
        </w:tc>
      </w:tr>
      <w:tr w:rsidR="0043133B" w:rsidRPr="000111BB" w14:paraId="719C1B68" w14:textId="77777777" w:rsidTr="009A1ED4">
        <w:trPr>
          <w:trHeight w:val="68"/>
        </w:trPr>
        <w:tc>
          <w:tcPr>
            <w:tcW w:w="937" w:type="pct"/>
          </w:tcPr>
          <w:p w14:paraId="3D2DE6AF" w14:textId="5782D324" w:rsidR="0043133B" w:rsidRPr="0043133B" w:rsidRDefault="0043133B" w:rsidP="0043133B">
            <w:pPr>
              <w:spacing w:beforeLines="60" w:before="144" w:afterLines="60" w:after="144"/>
            </w:pPr>
            <w:r w:rsidRPr="0043133B">
              <w:t>CPCCBC4018</w:t>
            </w:r>
          </w:p>
        </w:tc>
        <w:tc>
          <w:tcPr>
            <w:tcW w:w="3221" w:type="pct"/>
          </w:tcPr>
          <w:p w14:paraId="24F79BB8" w14:textId="50EAEBE9" w:rsidR="0043133B" w:rsidRPr="0043133B" w:rsidRDefault="0043133B" w:rsidP="0043133B">
            <w:pPr>
              <w:tabs>
                <w:tab w:val="left" w:pos="33"/>
              </w:tabs>
              <w:spacing w:beforeLines="60" w:before="144" w:afterLines="60" w:after="144"/>
            </w:pPr>
            <w:r w:rsidRPr="0043133B">
              <w:t>Apply site surveys and set-out procedures to building and construction projects</w:t>
            </w:r>
          </w:p>
        </w:tc>
        <w:tc>
          <w:tcPr>
            <w:tcW w:w="842" w:type="pct"/>
            <w:vAlign w:val="center"/>
          </w:tcPr>
          <w:p w14:paraId="4A1DBB02" w14:textId="08E535C8" w:rsidR="0043133B" w:rsidRPr="009A1ED4" w:rsidRDefault="0043133B" w:rsidP="0043133B">
            <w:pPr>
              <w:spacing w:beforeLines="60" w:before="144" w:afterLines="60" w:after="144"/>
              <w:rPr>
                <w:rFonts w:ascii="Calibri" w:hAnsi="Calibri" w:cs="Calibri"/>
              </w:rPr>
            </w:pPr>
            <w:r w:rsidRPr="009A1ED4">
              <w:rPr>
                <w:rFonts w:ascii="Calibri" w:hAnsi="Calibri" w:cs="Calibri"/>
              </w:rPr>
              <w:t>Core</w:t>
            </w:r>
          </w:p>
        </w:tc>
      </w:tr>
      <w:tr w:rsidR="0043133B" w:rsidRPr="000111BB" w14:paraId="5C87F76C" w14:textId="77777777" w:rsidTr="009A1ED4">
        <w:trPr>
          <w:trHeight w:val="68"/>
        </w:trPr>
        <w:tc>
          <w:tcPr>
            <w:tcW w:w="937" w:type="pct"/>
          </w:tcPr>
          <w:p w14:paraId="61426115" w14:textId="5F692FB2" w:rsidR="0043133B" w:rsidRPr="0043133B" w:rsidRDefault="0043133B" w:rsidP="0043133B">
            <w:pPr>
              <w:spacing w:beforeLines="60" w:before="144" w:afterLines="60" w:after="144"/>
            </w:pPr>
            <w:r w:rsidRPr="0043133B">
              <w:t>CPCCBC4053</w:t>
            </w:r>
          </w:p>
        </w:tc>
        <w:tc>
          <w:tcPr>
            <w:tcW w:w="3221" w:type="pct"/>
          </w:tcPr>
          <w:p w14:paraId="4A935D23" w14:textId="6157A8A3" w:rsidR="0043133B" w:rsidRPr="0043133B" w:rsidRDefault="0043133B" w:rsidP="0043133B">
            <w:pPr>
              <w:tabs>
                <w:tab w:val="left" w:pos="33"/>
              </w:tabs>
              <w:spacing w:beforeLines="60" w:before="144" w:afterLines="60" w:after="144"/>
            </w:pPr>
            <w:r w:rsidRPr="0043133B">
              <w:t>Apply building codes and standards to the construction process for Class 2 to 9, Type C buildings</w:t>
            </w:r>
          </w:p>
        </w:tc>
        <w:tc>
          <w:tcPr>
            <w:tcW w:w="842" w:type="pct"/>
            <w:vAlign w:val="center"/>
          </w:tcPr>
          <w:p w14:paraId="1268E0E2" w14:textId="5C4CF213" w:rsidR="0043133B" w:rsidRPr="009A1ED4" w:rsidRDefault="0043133B" w:rsidP="0043133B">
            <w:pPr>
              <w:spacing w:beforeLines="60" w:before="144" w:afterLines="60" w:after="144"/>
              <w:rPr>
                <w:rFonts w:ascii="Calibri" w:hAnsi="Calibri" w:cs="Calibri"/>
              </w:rPr>
            </w:pPr>
            <w:r w:rsidRPr="009A1ED4">
              <w:rPr>
                <w:rFonts w:ascii="Calibri" w:hAnsi="Calibri" w:cs="Calibri"/>
              </w:rPr>
              <w:t>Core</w:t>
            </w:r>
          </w:p>
        </w:tc>
      </w:tr>
      <w:tr w:rsidR="0043133B" w:rsidRPr="000111BB" w14:paraId="3F04B34F" w14:textId="77777777" w:rsidTr="009A1ED4">
        <w:trPr>
          <w:trHeight w:val="68"/>
        </w:trPr>
        <w:tc>
          <w:tcPr>
            <w:tcW w:w="937" w:type="pct"/>
          </w:tcPr>
          <w:p w14:paraId="672BC259" w14:textId="7AED6168" w:rsidR="0043133B" w:rsidRPr="0043133B" w:rsidRDefault="0043133B" w:rsidP="0043133B">
            <w:pPr>
              <w:spacing w:beforeLines="60" w:before="144" w:afterLines="60" w:after="144"/>
            </w:pPr>
            <w:r w:rsidRPr="0043133B">
              <w:t>CPCCBC5001</w:t>
            </w:r>
          </w:p>
        </w:tc>
        <w:tc>
          <w:tcPr>
            <w:tcW w:w="3221" w:type="pct"/>
          </w:tcPr>
          <w:p w14:paraId="14CBC18D" w14:textId="7FBEDE12" w:rsidR="0043133B" w:rsidRPr="0043133B" w:rsidRDefault="0043133B" w:rsidP="0043133B">
            <w:pPr>
              <w:tabs>
                <w:tab w:val="left" w:pos="33"/>
              </w:tabs>
              <w:spacing w:beforeLines="60" w:before="144" w:afterLines="60" w:after="144"/>
            </w:pPr>
            <w:r w:rsidRPr="0043133B">
              <w:t>Apply building codes and standards to the construction process for Type B construction</w:t>
            </w:r>
          </w:p>
        </w:tc>
        <w:tc>
          <w:tcPr>
            <w:tcW w:w="842" w:type="pct"/>
            <w:vAlign w:val="center"/>
          </w:tcPr>
          <w:p w14:paraId="67CD034E" w14:textId="0EEFBA7E" w:rsidR="0043133B" w:rsidRPr="009A1ED4" w:rsidRDefault="0043133B" w:rsidP="0043133B">
            <w:pPr>
              <w:spacing w:beforeLines="60" w:before="144" w:afterLines="60" w:after="144"/>
              <w:rPr>
                <w:rFonts w:ascii="Calibri" w:hAnsi="Calibri" w:cs="Calibri"/>
              </w:rPr>
            </w:pPr>
            <w:r w:rsidRPr="009A1ED4">
              <w:rPr>
                <w:rFonts w:ascii="Calibri" w:hAnsi="Calibri" w:cs="Calibri"/>
              </w:rPr>
              <w:t>Core</w:t>
            </w:r>
          </w:p>
        </w:tc>
      </w:tr>
      <w:tr w:rsidR="0043133B" w:rsidRPr="000111BB" w14:paraId="282096BC" w14:textId="77777777" w:rsidTr="009A1ED4">
        <w:trPr>
          <w:trHeight w:val="68"/>
        </w:trPr>
        <w:tc>
          <w:tcPr>
            <w:tcW w:w="937" w:type="pct"/>
          </w:tcPr>
          <w:p w14:paraId="325FADB9" w14:textId="585A4C27" w:rsidR="0043133B" w:rsidRPr="0043133B" w:rsidRDefault="0043133B" w:rsidP="0043133B">
            <w:pPr>
              <w:spacing w:beforeLines="60" w:before="144" w:afterLines="60" w:after="144"/>
            </w:pPr>
            <w:r w:rsidRPr="0043133B">
              <w:t>CPCCBC5002</w:t>
            </w:r>
          </w:p>
        </w:tc>
        <w:tc>
          <w:tcPr>
            <w:tcW w:w="3221" w:type="pct"/>
          </w:tcPr>
          <w:p w14:paraId="1B986BC0" w14:textId="1B285880" w:rsidR="0043133B" w:rsidRPr="0043133B" w:rsidRDefault="0043133B" w:rsidP="0043133B">
            <w:pPr>
              <w:tabs>
                <w:tab w:val="left" w:pos="33"/>
              </w:tabs>
              <w:spacing w:beforeLines="60" w:before="144" w:afterLines="60" w:after="144"/>
            </w:pPr>
            <w:r w:rsidRPr="0043133B">
              <w:t>Monitor costing systems on complex building and construction projects</w:t>
            </w:r>
          </w:p>
        </w:tc>
        <w:tc>
          <w:tcPr>
            <w:tcW w:w="842" w:type="pct"/>
            <w:vAlign w:val="center"/>
          </w:tcPr>
          <w:p w14:paraId="416A5A8C" w14:textId="1DD2235B" w:rsidR="0043133B" w:rsidRPr="009A1ED4" w:rsidRDefault="0043133B" w:rsidP="0043133B">
            <w:pPr>
              <w:spacing w:beforeLines="60" w:before="144" w:afterLines="60" w:after="144"/>
              <w:rPr>
                <w:rFonts w:ascii="Calibri" w:hAnsi="Calibri" w:cs="Calibri"/>
              </w:rPr>
            </w:pPr>
            <w:r w:rsidRPr="009A1ED4">
              <w:rPr>
                <w:rFonts w:ascii="Calibri" w:hAnsi="Calibri" w:cs="Calibri"/>
              </w:rPr>
              <w:t>Core</w:t>
            </w:r>
          </w:p>
        </w:tc>
      </w:tr>
      <w:tr w:rsidR="0043133B" w:rsidRPr="000111BB" w14:paraId="7B6854CC" w14:textId="77777777" w:rsidTr="009A1ED4">
        <w:trPr>
          <w:trHeight w:val="68"/>
        </w:trPr>
        <w:tc>
          <w:tcPr>
            <w:tcW w:w="937" w:type="pct"/>
          </w:tcPr>
          <w:p w14:paraId="05437707" w14:textId="75D7E24A" w:rsidR="0043133B" w:rsidRPr="0043133B" w:rsidRDefault="0043133B" w:rsidP="0043133B">
            <w:pPr>
              <w:spacing w:beforeLines="60" w:before="144" w:afterLines="60" w:after="144"/>
            </w:pPr>
            <w:r w:rsidRPr="0043133B">
              <w:t>CPCCBC5003</w:t>
            </w:r>
          </w:p>
        </w:tc>
        <w:tc>
          <w:tcPr>
            <w:tcW w:w="3221" w:type="pct"/>
          </w:tcPr>
          <w:p w14:paraId="0839FB06" w14:textId="76112F22" w:rsidR="0043133B" w:rsidRPr="0043133B" w:rsidRDefault="0043133B" w:rsidP="0043133B">
            <w:pPr>
              <w:tabs>
                <w:tab w:val="left" w:pos="33"/>
              </w:tabs>
              <w:spacing w:beforeLines="60" w:before="144" w:afterLines="60" w:after="144"/>
            </w:pPr>
            <w:r w:rsidRPr="0043133B">
              <w:t>Supervise the planning of onsite building and construction work</w:t>
            </w:r>
          </w:p>
        </w:tc>
        <w:tc>
          <w:tcPr>
            <w:tcW w:w="842" w:type="pct"/>
            <w:vAlign w:val="center"/>
          </w:tcPr>
          <w:p w14:paraId="335FC07D" w14:textId="21A31AA6" w:rsidR="0043133B" w:rsidRPr="009A1ED4" w:rsidRDefault="0043133B" w:rsidP="0043133B">
            <w:pPr>
              <w:spacing w:beforeLines="60" w:before="144" w:afterLines="60" w:after="144"/>
              <w:rPr>
                <w:rFonts w:ascii="Calibri" w:hAnsi="Calibri" w:cs="Calibri"/>
              </w:rPr>
            </w:pPr>
            <w:r w:rsidRPr="009A1ED4">
              <w:rPr>
                <w:rFonts w:ascii="Calibri" w:hAnsi="Calibri" w:cs="Calibri"/>
              </w:rPr>
              <w:t>Core</w:t>
            </w:r>
          </w:p>
        </w:tc>
      </w:tr>
      <w:tr w:rsidR="0043133B" w:rsidRPr="000111BB" w14:paraId="7B0C7B9A" w14:textId="77777777" w:rsidTr="009A1ED4">
        <w:trPr>
          <w:trHeight w:val="68"/>
        </w:trPr>
        <w:tc>
          <w:tcPr>
            <w:tcW w:w="937" w:type="pct"/>
          </w:tcPr>
          <w:p w14:paraId="6C8A0AB2" w14:textId="0C4A2E1B" w:rsidR="0043133B" w:rsidRPr="0043133B" w:rsidRDefault="0043133B" w:rsidP="0043133B">
            <w:pPr>
              <w:spacing w:beforeLines="60" w:before="144" w:afterLines="60" w:after="144"/>
            </w:pPr>
            <w:r w:rsidRPr="0043133B">
              <w:t>CPCCBC5005</w:t>
            </w:r>
          </w:p>
        </w:tc>
        <w:tc>
          <w:tcPr>
            <w:tcW w:w="3221" w:type="pct"/>
          </w:tcPr>
          <w:p w14:paraId="06C940C9" w14:textId="14D773F0" w:rsidR="0043133B" w:rsidRPr="0043133B" w:rsidRDefault="0043133B" w:rsidP="0043133B">
            <w:pPr>
              <w:tabs>
                <w:tab w:val="left" w:pos="33"/>
              </w:tabs>
              <w:spacing w:beforeLines="60" w:before="144" w:afterLines="60" w:after="144"/>
            </w:pPr>
            <w:r w:rsidRPr="0043133B">
              <w:t>Select and manage building and construction contractors</w:t>
            </w:r>
          </w:p>
        </w:tc>
        <w:tc>
          <w:tcPr>
            <w:tcW w:w="842" w:type="pct"/>
            <w:vAlign w:val="center"/>
          </w:tcPr>
          <w:p w14:paraId="71C704B5" w14:textId="09421BD0" w:rsidR="0043133B" w:rsidRPr="009A1ED4" w:rsidRDefault="0043133B" w:rsidP="0043133B">
            <w:pPr>
              <w:spacing w:beforeLines="60" w:before="144" w:afterLines="60" w:after="144"/>
              <w:rPr>
                <w:rFonts w:ascii="Calibri" w:hAnsi="Calibri" w:cs="Calibri"/>
              </w:rPr>
            </w:pPr>
            <w:r w:rsidRPr="009A1ED4">
              <w:rPr>
                <w:rFonts w:ascii="Calibri" w:hAnsi="Calibri" w:cs="Calibri"/>
              </w:rPr>
              <w:t>Core</w:t>
            </w:r>
          </w:p>
        </w:tc>
      </w:tr>
      <w:tr w:rsidR="0043133B" w:rsidRPr="000111BB" w14:paraId="7ECA26C8" w14:textId="77777777" w:rsidTr="009A1ED4">
        <w:trPr>
          <w:trHeight w:val="68"/>
        </w:trPr>
        <w:tc>
          <w:tcPr>
            <w:tcW w:w="937" w:type="pct"/>
          </w:tcPr>
          <w:p w14:paraId="20EE4C18" w14:textId="28878585" w:rsidR="0043133B" w:rsidRPr="0043133B" w:rsidRDefault="0043133B" w:rsidP="0043133B">
            <w:pPr>
              <w:spacing w:beforeLines="60" w:before="144" w:afterLines="60" w:after="144"/>
            </w:pPr>
            <w:r w:rsidRPr="0043133B">
              <w:t>CPCCBC5007</w:t>
            </w:r>
          </w:p>
        </w:tc>
        <w:tc>
          <w:tcPr>
            <w:tcW w:w="3221" w:type="pct"/>
          </w:tcPr>
          <w:p w14:paraId="70E9E92A" w14:textId="721A1628" w:rsidR="0043133B" w:rsidRPr="0043133B" w:rsidRDefault="0043133B" w:rsidP="0043133B">
            <w:pPr>
              <w:tabs>
                <w:tab w:val="left" w:pos="33"/>
              </w:tabs>
              <w:spacing w:beforeLines="60" w:before="144" w:afterLines="60" w:after="144"/>
            </w:pPr>
            <w:r w:rsidRPr="0043133B">
              <w:t>Administer the legal obligations of a building and construction contractor</w:t>
            </w:r>
          </w:p>
        </w:tc>
        <w:tc>
          <w:tcPr>
            <w:tcW w:w="842" w:type="pct"/>
            <w:vAlign w:val="center"/>
          </w:tcPr>
          <w:p w14:paraId="58A2F627" w14:textId="4831B54E" w:rsidR="0043133B" w:rsidRPr="009A1ED4" w:rsidRDefault="0043133B" w:rsidP="0043133B">
            <w:pPr>
              <w:spacing w:beforeLines="60" w:before="144" w:afterLines="60" w:after="144"/>
              <w:rPr>
                <w:rFonts w:ascii="Calibri" w:hAnsi="Calibri" w:cs="Calibri"/>
              </w:rPr>
            </w:pPr>
            <w:r w:rsidRPr="009A1ED4">
              <w:rPr>
                <w:rFonts w:ascii="Calibri" w:hAnsi="Calibri" w:cs="Calibri"/>
              </w:rPr>
              <w:t>Core</w:t>
            </w:r>
          </w:p>
        </w:tc>
      </w:tr>
      <w:tr w:rsidR="0043133B" w:rsidRPr="000111BB" w14:paraId="5C88C26F" w14:textId="77777777" w:rsidTr="009A1ED4">
        <w:trPr>
          <w:trHeight w:val="68"/>
        </w:trPr>
        <w:tc>
          <w:tcPr>
            <w:tcW w:w="937" w:type="pct"/>
          </w:tcPr>
          <w:p w14:paraId="2C3EC716" w14:textId="6DD0EA60" w:rsidR="0043133B" w:rsidRPr="0043133B" w:rsidRDefault="0043133B" w:rsidP="0043133B">
            <w:pPr>
              <w:spacing w:beforeLines="60" w:before="144" w:afterLines="60" w:after="144"/>
            </w:pPr>
            <w:r w:rsidRPr="0043133B">
              <w:t>CPCCBC5010</w:t>
            </w:r>
          </w:p>
        </w:tc>
        <w:tc>
          <w:tcPr>
            <w:tcW w:w="3221" w:type="pct"/>
          </w:tcPr>
          <w:p w14:paraId="7F68575A" w14:textId="02BC49CF" w:rsidR="0043133B" w:rsidRPr="0043133B" w:rsidRDefault="0043133B" w:rsidP="0043133B">
            <w:pPr>
              <w:tabs>
                <w:tab w:val="left" w:pos="33"/>
              </w:tabs>
              <w:spacing w:beforeLines="60" w:before="144" w:afterLines="60" w:after="144"/>
            </w:pPr>
            <w:r w:rsidRPr="0043133B">
              <w:t>Manage construction work</w:t>
            </w:r>
          </w:p>
        </w:tc>
        <w:tc>
          <w:tcPr>
            <w:tcW w:w="842" w:type="pct"/>
            <w:vAlign w:val="center"/>
          </w:tcPr>
          <w:p w14:paraId="60EC1905" w14:textId="36055AC3" w:rsidR="0043133B" w:rsidRPr="009A1ED4" w:rsidRDefault="0043133B" w:rsidP="0043133B">
            <w:pPr>
              <w:spacing w:beforeLines="60" w:before="144" w:afterLines="60" w:after="144"/>
              <w:rPr>
                <w:rFonts w:ascii="Calibri" w:hAnsi="Calibri" w:cs="Calibri"/>
              </w:rPr>
            </w:pPr>
            <w:r w:rsidRPr="009A1ED4">
              <w:rPr>
                <w:rFonts w:ascii="Calibri" w:hAnsi="Calibri" w:cs="Calibri"/>
              </w:rPr>
              <w:t>Core</w:t>
            </w:r>
          </w:p>
        </w:tc>
      </w:tr>
      <w:tr w:rsidR="0043133B" w:rsidRPr="000111BB" w14:paraId="690E9744" w14:textId="77777777" w:rsidTr="009A1ED4">
        <w:trPr>
          <w:trHeight w:val="68"/>
        </w:trPr>
        <w:tc>
          <w:tcPr>
            <w:tcW w:w="937" w:type="pct"/>
          </w:tcPr>
          <w:p w14:paraId="05981291" w14:textId="0C683117" w:rsidR="0043133B" w:rsidRPr="0043133B" w:rsidRDefault="0043133B" w:rsidP="0043133B">
            <w:pPr>
              <w:spacing w:beforeLines="60" w:before="144" w:afterLines="60" w:after="144"/>
            </w:pPr>
            <w:r w:rsidRPr="0043133B">
              <w:t>CPCCBC5011</w:t>
            </w:r>
          </w:p>
        </w:tc>
        <w:tc>
          <w:tcPr>
            <w:tcW w:w="3221" w:type="pct"/>
          </w:tcPr>
          <w:p w14:paraId="360CE9EB" w14:textId="142FFD40" w:rsidR="0043133B" w:rsidRPr="0043133B" w:rsidRDefault="0043133B" w:rsidP="0043133B">
            <w:pPr>
              <w:tabs>
                <w:tab w:val="left" w:pos="33"/>
              </w:tabs>
              <w:spacing w:beforeLines="60" w:before="144" w:afterLines="60" w:after="144"/>
            </w:pPr>
            <w:r w:rsidRPr="0043133B">
              <w:t>Manage environmental management practices and processes in building and construction</w:t>
            </w:r>
          </w:p>
        </w:tc>
        <w:tc>
          <w:tcPr>
            <w:tcW w:w="842" w:type="pct"/>
            <w:vAlign w:val="center"/>
          </w:tcPr>
          <w:p w14:paraId="28769A6A" w14:textId="0677B420" w:rsidR="0043133B" w:rsidRPr="009A1ED4" w:rsidRDefault="0043133B" w:rsidP="0043133B">
            <w:pPr>
              <w:spacing w:beforeLines="60" w:before="144" w:afterLines="60" w:after="144"/>
              <w:rPr>
                <w:rFonts w:ascii="Calibri" w:hAnsi="Calibri" w:cs="Calibri"/>
              </w:rPr>
            </w:pPr>
            <w:r w:rsidRPr="009A1ED4">
              <w:rPr>
                <w:rFonts w:ascii="Calibri" w:hAnsi="Calibri" w:cs="Calibri"/>
              </w:rPr>
              <w:t>Core</w:t>
            </w:r>
          </w:p>
        </w:tc>
      </w:tr>
      <w:tr w:rsidR="0043133B" w:rsidRPr="000111BB" w14:paraId="23963694" w14:textId="77777777" w:rsidTr="009A1ED4">
        <w:trPr>
          <w:trHeight w:val="68"/>
        </w:trPr>
        <w:tc>
          <w:tcPr>
            <w:tcW w:w="937" w:type="pct"/>
          </w:tcPr>
          <w:p w14:paraId="6FCE05D5" w14:textId="10134C12" w:rsidR="0043133B" w:rsidRPr="0043133B" w:rsidRDefault="0043133B" w:rsidP="0043133B">
            <w:pPr>
              <w:spacing w:beforeLines="60" w:before="144" w:afterLines="60" w:after="144"/>
            </w:pPr>
            <w:r w:rsidRPr="0043133B">
              <w:t>CPCCBC5013</w:t>
            </w:r>
          </w:p>
        </w:tc>
        <w:tc>
          <w:tcPr>
            <w:tcW w:w="3221" w:type="pct"/>
          </w:tcPr>
          <w:p w14:paraId="4DC2BF6E" w14:textId="4F5A123C" w:rsidR="0043133B" w:rsidRPr="0043133B" w:rsidRDefault="0043133B" w:rsidP="0043133B">
            <w:pPr>
              <w:tabs>
                <w:tab w:val="left" w:pos="33"/>
              </w:tabs>
              <w:spacing w:beforeLines="60" w:before="144" w:afterLines="60" w:after="144"/>
            </w:pPr>
            <w:r w:rsidRPr="0043133B">
              <w:t>Manage professional technical and legal reports on building and construction projects</w:t>
            </w:r>
          </w:p>
        </w:tc>
        <w:tc>
          <w:tcPr>
            <w:tcW w:w="842" w:type="pct"/>
            <w:vAlign w:val="center"/>
          </w:tcPr>
          <w:p w14:paraId="4336ACF6" w14:textId="3945D577" w:rsidR="0043133B" w:rsidRPr="009A1ED4" w:rsidRDefault="0043133B" w:rsidP="0043133B">
            <w:pPr>
              <w:spacing w:beforeLines="60" w:before="144" w:afterLines="60" w:after="144"/>
              <w:rPr>
                <w:rFonts w:ascii="Calibri" w:hAnsi="Calibri" w:cs="Calibri"/>
              </w:rPr>
            </w:pPr>
            <w:r w:rsidRPr="009A1ED4">
              <w:rPr>
                <w:rFonts w:ascii="Calibri" w:hAnsi="Calibri" w:cs="Calibri"/>
              </w:rPr>
              <w:t>Core</w:t>
            </w:r>
          </w:p>
        </w:tc>
      </w:tr>
      <w:tr w:rsidR="0043133B" w:rsidRPr="000111BB" w14:paraId="3FF44B93" w14:textId="77777777" w:rsidTr="009A1ED4">
        <w:trPr>
          <w:trHeight w:val="68"/>
        </w:trPr>
        <w:tc>
          <w:tcPr>
            <w:tcW w:w="937" w:type="pct"/>
          </w:tcPr>
          <w:p w14:paraId="54B8A41B" w14:textId="4D7A7920" w:rsidR="0043133B" w:rsidRPr="0043133B" w:rsidRDefault="0043133B" w:rsidP="0043133B">
            <w:pPr>
              <w:spacing w:beforeLines="60" w:before="144" w:afterLines="60" w:after="144"/>
            </w:pPr>
            <w:r w:rsidRPr="0043133B">
              <w:t>CPCCBC5018*</w:t>
            </w:r>
          </w:p>
        </w:tc>
        <w:tc>
          <w:tcPr>
            <w:tcW w:w="3221" w:type="pct"/>
          </w:tcPr>
          <w:p w14:paraId="4A7C7F91" w14:textId="6E85A361" w:rsidR="0043133B" w:rsidRPr="0043133B" w:rsidRDefault="0043133B" w:rsidP="0043133B">
            <w:pPr>
              <w:tabs>
                <w:tab w:val="left" w:pos="33"/>
              </w:tabs>
              <w:spacing w:beforeLines="60" w:before="144" w:afterLines="60" w:after="144"/>
            </w:pPr>
            <w:r w:rsidRPr="0043133B">
              <w:t>Apply structural principles to the construction of buildings up to 3 storeys</w:t>
            </w:r>
          </w:p>
        </w:tc>
        <w:tc>
          <w:tcPr>
            <w:tcW w:w="842" w:type="pct"/>
            <w:vAlign w:val="center"/>
          </w:tcPr>
          <w:p w14:paraId="2536BCC3" w14:textId="471B05A8" w:rsidR="0043133B" w:rsidRPr="009A1ED4" w:rsidRDefault="0043133B" w:rsidP="0043133B">
            <w:pPr>
              <w:spacing w:beforeLines="60" w:before="144" w:afterLines="60" w:after="144"/>
              <w:rPr>
                <w:rFonts w:ascii="Calibri" w:hAnsi="Calibri" w:cs="Calibri"/>
              </w:rPr>
            </w:pPr>
            <w:r w:rsidRPr="009A1ED4">
              <w:rPr>
                <w:rFonts w:ascii="Calibri" w:hAnsi="Calibri" w:cs="Calibri"/>
              </w:rPr>
              <w:t>Core</w:t>
            </w:r>
          </w:p>
        </w:tc>
      </w:tr>
      <w:tr w:rsidR="0043133B" w:rsidRPr="000111BB" w14:paraId="7296646F" w14:textId="77777777" w:rsidTr="009A1ED4">
        <w:trPr>
          <w:trHeight w:val="68"/>
        </w:trPr>
        <w:tc>
          <w:tcPr>
            <w:tcW w:w="937" w:type="pct"/>
          </w:tcPr>
          <w:p w14:paraId="0B7715AA" w14:textId="17D9A984" w:rsidR="0043133B" w:rsidRPr="0043133B" w:rsidRDefault="0043133B" w:rsidP="0043133B">
            <w:pPr>
              <w:spacing w:beforeLines="60" w:before="144" w:afterLines="60" w:after="144"/>
            </w:pPr>
            <w:r w:rsidRPr="0043133B">
              <w:t>CPCCBC5019</w:t>
            </w:r>
          </w:p>
        </w:tc>
        <w:tc>
          <w:tcPr>
            <w:tcW w:w="3221" w:type="pct"/>
          </w:tcPr>
          <w:p w14:paraId="7286BEF2" w14:textId="1448E860" w:rsidR="0043133B" w:rsidRPr="0043133B" w:rsidRDefault="0043133B" w:rsidP="0043133B">
            <w:pPr>
              <w:tabs>
                <w:tab w:val="left" w:pos="33"/>
              </w:tabs>
              <w:spacing w:beforeLines="60" w:before="144" w:afterLines="60" w:after="144"/>
            </w:pPr>
            <w:r w:rsidRPr="0043133B">
              <w:t>Manage building and construction business finances</w:t>
            </w:r>
          </w:p>
        </w:tc>
        <w:tc>
          <w:tcPr>
            <w:tcW w:w="842" w:type="pct"/>
            <w:vAlign w:val="center"/>
          </w:tcPr>
          <w:p w14:paraId="36583FDA" w14:textId="72B4C62F" w:rsidR="0043133B" w:rsidRPr="009A1ED4" w:rsidRDefault="0043133B" w:rsidP="0043133B">
            <w:pPr>
              <w:spacing w:beforeLines="60" w:before="144" w:afterLines="60" w:after="144"/>
              <w:rPr>
                <w:rFonts w:ascii="Calibri" w:hAnsi="Calibri" w:cs="Calibri"/>
              </w:rPr>
            </w:pPr>
            <w:r w:rsidRPr="009A1ED4">
              <w:rPr>
                <w:rFonts w:ascii="Calibri" w:hAnsi="Calibri" w:cs="Calibri"/>
              </w:rPr>
              <w:t>Core</w:t>
            </w:r>
          </w:p>
        </w:tc>
      </w:tr>
      <w:tr w:rsidR="0043133B" w:rsidRPr="000111BB" w14:paraId="489E6593" w14:textId="77777777" w:rsidTr="009A1ED4">
        <w:trPr>
          <w:trHeight w:val="68"/>
        </w:trPr>
        <w:tc>
          <w:tcPr>
            <w:tcW w:w="937" w:type="pct"/>
          </w:tcPr>
          <w:p w14:paraId="5D2D01E9" w14:textId="17E77D54" w:rsidR="0043133B" w:rsidRPr="0043133B" w:rsidRDefault="0043133B" w:rsidP="0043133B">
            <w:pPr>
              <w:spacing w:beforeLines="60" w:before="144" w:afterLines="60" w:after="144"/>
            </w:pPr>
            <w:r w:rsidRPr="0043133B">
              <w:t>BSBPMG532</w:t>
            </w:r>
          </w:p>
        </w:tc>
        <w:tc>
          <w:tcPr>
            <w:tcW w:w="3221" w:type="pct"/>
          </w:tcPr>
          <w:p w14:paraId="22AF1D24" w14:textId="26BFBCCF" w:rsidR="0043133B" w:rsidRPr="0043133B" w:rsidRDefault="0043133B" w:rsidP="0043133B">
            <w:pPr>
              <w:tabs>
                <w:tab w:val="left" w:pos="33"/>
              </w:tabs>
              <w:spacing w:beforeLines="60" w:before="144" w:afterLines="60" w:after="144"/>
            </w:pPr>
            <w:r w:rsidRPr="0043133B">
              <w:t>Manage project quality</w:t>
            </w:r>
          </w:p>
        </w:tc>
        <w:tc>
          <w:tcPr>
            <w:tcW w:w="842" w:type="pct"/>
            <w:vAlign w:val="center"/>
          </w:tcPr>
          <w:p w14:paraId="32FDAB39" w14:textId="3954ECF7" w:rsidR="0043133B" w:rsidRPr="009A1ED4" w:rsidRDefault="0043133B" w:rsidP="0043133B">
            <w:pPr>
              <w:spacing w:beforeLines="60" w:before="144" w:afterLines="60" w:after="144"/>
              <w:rPr>
                <w:rFonts w:ascii="Calibri" w:hAnsi="Calibri" w:cs="Calibri"/>
              </w:rPr>
            </w:pPr>
            <w:r w:rsidRPr="009A1ED4">
              <w:rPr>
                <w:rFonts w:ascii="Calibri" w:hAnsi="Calibri" w:cs="Calibri"/>
              </w:rPr>
              <w:t>Elective</w:t>
            </w:r>
          </w:p>
        </w:tc>
      </w:tr>
      <w:tr w:rsidR="0043133B" w:rsidRPr="000111BB" w14:paraId="2CDD6458" w14:textId="77777777" w:rsidTr="009A1ED4">
        <w:trPr>
          <w:trHeight w:val="68"/>
        </w:trPr>
        <w:tc>
          <w:tcPr>
            <w:tcW w:w="937" w:type="pct"/>
          </w:tcPr>
          <w:p w14:paraId="7FAB9742" w14:textId="24BB1B01" w:rsidR="0043133B" w:rsidRPr="0043133B" w:rsidRDefault="0043133B" w:rsidP="0043133B">
            <w:pPr>
              <w:spacing w:beforeLines="60" w:before="144" w:afterLines="60" w:after="144"/>
            </w:pPr>
            <w:r w:rsidRPr="0043133B">
              <w:t>BSBPMG538</w:t>
            </w:r>
          </w:p>
        </w:tc>
        <w:tc>
          <w:tcPr>
            <w:tcW w:w="3221" w:type="pct"/>
          </w:tcPr>
          <w:p w14:paraId="74D6BD87" w14:textId="3907CBFB" w:rsidR="0043133B" w:rsidRPr="0043133B" w:rsidRDefault="0043133B" w:rsidP="0043133B">
            <w:pPr>
              <w:tabs>
                <w:tab w:val="left" w:pos="33"/>
              </w:tabs>
              <w:spacing w:beforeLines="60" w:before="144" w:afterLines="60" w:after="144"/>
            </w:pPr>
            <w:r w:rsidRPr="0043133B">
              <w:t>Manage project stakeholder engagement</w:t>
            </w:r>
          </w:p>
        </w:tc>
        <w:tc>
          <w:tcPr>
            <w:tcW w:w="842" w:type="pct"/>
            <w:vAlign w:val="center"/>
          </w:tcPr>
          <w:p w14:paraId="6D31DC4D" w14:textId="0A139CB8" w:rsidR="0043133B" w:rsidRPr="009A1ED4" w:rsidRDefault="0043133B" w:rsidP="0043133B">
            <w:pPr>
              <w:spacing w:beforeLines="60" w:before="144" w:afterLines="60" w:after="144"/>
              <w:rPr>
                <w:rFonts w:ascii="Calibri" w:hAnsi="Calibri" w:cs="Calibri"/>
              </w:rPr>
            </w:pPr>
            <w:r w:rsidRPr="009A1ED4">
              <w:rPr>
                <w:rFonts w:ascii="Calibri" w:hAnsi="Calibri" w:cs="Calibri"/>
              </w:rPr>
              <w:t>Elective</w:t>
            </w:r>
          </w:p>
        </w:tc>
      </w:tr>
      <w:tr w:rsidR="0043133B" w:rsidRPr="000111BB" w14:paraId="4991FAD1" w14:textId="77777777" w:rsidTr="009A1ED4">
        <w:trPr>
          <w:trHeight w:val="68"/>
        </w:trPr>
        <w:tc>
          <w:tcPr>
            <w:tcW w:w="937" w:type="pct"/>
          </w:tcPr>
          <w:p w14:paraId="445F4CE0" w14:textId="69A8250B" w:rsidR="0043133B" w:rsidRPr="0043133B" w:rsidRDefault="0043133B" w:rsidP="0043133B">
            <w:pPr>
              <w:spacing w:beforeLines="60" w:before="144" w:afterLines="60" w:after="144"/>
            </w:pPr>
            <w:r w:rsidRPr="0043133B">
              <w:t>CPCCBC4052</w:t>
            </w:r>
          </w:p>
        </w:tc>
        <w:tc>
          <w:tcPr>
            <w:tcW w:w="3221" w:type="pct"/>
          </w:tcPr>
          <w:p w14:paraId="1714FD1A" w14:textId="72A211E0" w:rsidR="0043133B" w:rsidRPr="0043133B" w:rsidRDefault="0043133B" w:rsidP="0043133B">
            <w:pPr>
              <w:tabs>
                <w:tab w:val="left" w:pos="33"/>
              </w:tabs>
              <w:spacing w:beforeLines="60" w:before="144" w:afterLines="60" w:after="144"/>
            </w:pPr>
            <w:r w:rsidRPr="0043133B">
              <w:t>Lead and manage teams in the building and construction industry</w:t>
            </w:r>
          </w:p>
        </w:tc>
        <w:tc>
          <w:tcPr>
            <w:tcW w:w="842" w:type="pct"/>
            <w:vAlign w:val="center"/>
          </w:tcPr>
          <w:p w14:paraId="1B3E8C1D" w14:textId="2D700248" w:rsidR="0043133B" w:rsidRPr="009A1ED4" w:rsidRDefault="0043133B" w:rsidP="0043133B">
            <w:pPr>
              <w:spacing w:beforeLines="60" w:before="144" w:afterLines="60" w:after="144"/>
              <w:rPr>
                <w:rFonts w:ascii="Calibri" w:hAnsi="Calibri" w:cs="Calibri"/>
              </w:rPr>
            </w:pPr>
            <w:r w:rsidRPr="009A1ED4">
              <w:rPr>
                <w:rFonts w:ascii="Calibri" w:hAnsi="Calibri" w:cs="Calibri"/>
              </w:rPr>
              <w:t>Elective</w:t>
            </w:r>
          </w:p>
        </w:tc>
      </w:tr>
    </w:tbl>
    <w:p w14:paraId="4769D3E4" w14:textId="4322B5BB" w:rsidR="009E1B26" w:rsidRDefault="00EF0D43" w:rsidP="00372ED8">
      <w:pPr>
        <w:spacing w:after="0" w:line="276" w:lineRule="auto"/>
        <w:contextualSpacing/>
        <w:jc w:val="both"/>
        <w:rPr>
          <w:i/>
          <w:iCs/>
        </w:rPr>
      </w:pPr>
      <w:r w:rsidRPr="00EF0D43">
        <w:rPr>
          <w:i/>
          <w:iCs/>
        </w:rPr>
        <w:lastRenderedPageBreak/>
        <w:t>An asterisk (*) next to the unit code indicates that there are prerequisite requirements which must be met when packaging the qualification. Please refer to the Prerequisite requirements table for details</w:t>
      </w:r>
      <w:r w:rsidR="00512C05">
        <w:rPr>
          <w:i/>
          <w:iCs/>
        </w:rPr>
        <w:t>.</w:t>
      </w:r>
    </w:p>
    <w:p w14:paraId="7205B3FA" w14:textId="77777777" w:rsidR="00EF0D43" w:rsidRPr="00EF0D43" w:rsidRDefault="00EF0D43" w:rsidP="00372ED8">
      <w:pPr>
        <w:spacing w:after="0" w:line="276" w:lineRule="auto"/>
        <w:contextualSpacing/>
        <w:jc w:val="both"/>
      </w:pPr>
    </w:p>
    <w:p w14:paraId="08BE0003" w14:textId="77777777" w:rsidR="006F2397" w:rsidRDefault="006F2397" w:rsidP="00372ED8">
      <w:pPr>
        <w:shd w:val="clear" w:color="auto" w:fill="FFFFFF"/>
        <w:spacing w:line="0" w:lineRule="atLeast"/>
        <w:jc w:val="both"/>
        <w:rPr>
          <w:b/>
          <w:bCs/>
        </w:rPr>
      </w:pPr>
      <w:bookmarkStart w:id="3" w:name="_Hlk57632369"/>
      <w:r>
        <w:rPr>
          <w:b/>
          <w:bCs/>
        </w:rPr>
        <w:t>Prerequisite Requirements</w:t>
      </w:r>
    </w:p>
    <w:tbl>
      <w:tblPr>
        <w:tblStyle w:val="TableGrid"/>
        <w:tblW w:w="0" w:type="auto"/>
        <w:tblLook w:val="04A0" w:firstRow="1" w:lastRow="0" w:firstColumn="1" w:lastColumn="0" w:noHBand="0" w:noVBand="1"/>
      </w:tblPr>
      <w:tblGrid>
        <w:gridCol w:w="4591"/>
        <w:gridCol w:w="4591"/>
      </w:tblGrid>
      <w:tr w:rsidR="00A154A8" w14:paraId="5A9FD753" w14:textId="77777777" w:rsidTr="006F2397">
        <w:tc>
          <w:tcPr>
            <w:tcW w:w="4591" w:type="dxa"/>
          </w:tcPr>
          <w:p w14:paraId="380F3B4D" w14:textId="117263C7" w:rsidR="00A154A8" w:rsidRPr="00F236EA" w:rsidRDefault="00A154A8" w:rsidP="00F236EA">
            <w:pPr>
              <w:spacing w:beforeLines="60" w:before="144" w:afterLines="60" w:after="144" w:line="259" w:lineRule="auto"/>
              <w:jc w:val="center"/>
              <w:rPr>
                <w:b/>
                <w:bCs/>
                <w:i/>
                <w:iCs/>
                <w:sz w:val="22"/>
                <w:szCs w:val="22"/>
              </w:rPr>
            </w:pPr>
            <w:r w:rsidRPr="00F236EA">
              <w:rPr>
                <w:b/>
                <w:bCs/>
                <w:i/>
                <w:iCs/>
                <w:sz w:val="22"/>
                <w:szCs w:val="22"/>
              </w:rPr>
              <w:t>Unit of competency</w:t>
            </w:r>
          </w:p>
        </w:tc>
        <w:tc>
          <w:tcPr>
            <w:tcW w:w="4591" w:type="dxa"/>
          </w:tcPr>
          <w:p w14:paraId="3B62DC07" w14:textId="6C6A7B7E" w:rsidR="00A154A8" w:rsidRPr="00F236EA" w:rsidRDefault="00A154A8" w:rsidP="00F236EA">
            <w:pPr>
              <w:spacing w:beforeLines="60" w:before="144" w:afterLines="60" w:after="144" w:line="259" w:lineRule="auto"/>
              <w:jc w:val="center"/>
              <w:rPr>
                <w:b/>
                <w:bCs/>
                <w:i/>
                <w:iCs/>
                <w:sz w:val="22"/>
                <w:szCs w:val="22"/>
              </w:rPr>
            </w:pPr>
            <w:r w:rsidRPr="00F236EA">
              <w:rPr>
                <w:b/>
                <w:bCs/>
                <w:i/>
                <w:iCs/>
                <w:sz w:val="22"/>
                <w:szCs w:val="22"/>
              </w:rPr>
              <w:t>Prerequisite requirement</w:t>
            </w:r>
          </w:p>
        </w:tc>
      </w:tr>
      <w:tr w:rsidR="00A154A8" w14:paraId="501B94E5" w14:textId="77777777" w:rsidTr="006F2397">
        <w:tc>
          <w:tcPr>
            <w:tcW w:w="4591" w:type="dxa"/>
          </w:tcPr>
          <w:p w14:paraId="411482BD" w14:textId="4C108570" w:rsidR="00A154A8" w:rsidRPr="00A154A8" w:rsidRDefault="00A154A8" w:rsidP="00A154A8">
            <w:pPr>
              <w:spacing w:beforeLines="60" w:before="144" w:afterLines="60" w:after="144" w:line="259" w:lineRule="auto"/>
              <w:rPr>
                <w:sz w:val="22"/>
                <w:szCs w:val="22"/>
              </w:rPr>
            </w:pPr>
            <w:r w:rsidRPr="00A154A8">
              <w:rPr>
                <w:sz w:val="22"/>
                <w:szCs w:val="22"/>
              </w:rPr>
              <w:t>CPCCBC5018 Apply structural principles to the construction of buildings up to 3 storeys</w:t>
            </w:r>
          </w:p>
        </w:tc>
        <w:tc>
          <w:tcPr>
            <w:tcW w:w="4591" w:type="dxa"/>
          </w:tcPr>
          <w:p w14:paraId="30DBEC7C" w14:textId="77777777" w:rsidR="00A154A8" w:rsidRPr="00A154A8" w:rsidRDefault="00A154A8" w:rsidP="00A154A8">
            <w:pPr>
              <w:spacing w:beforeLines="60" w:before="144" w:afterLines="60" w:after="144" w:line="259" w:lineRule="auto"/>
              <w:rPr>
                <w:sz w:val="22"/>
                <w:szCs w:val="22"/>
              </w:rPr>
            </w:pPr>
            <w:r w:rsidRPr="00A154A8">
              <w:rPr>
                <w:sz w:val="22"/>
                <w:szCs w:val="22"/>
              </w:rPr>
              <w:t>CPCCBC5001 Apply building codes and standards to the construction process for Type B construction</w:t>
            </w:r>
          </w:p>
          <w:p w14:paraId="4AE8629A" w14:textId="000C1FE0" w:rsidR="00A154A8" w:rsidRPr="00A154A8" w:rsidRDefault="00A154A8" w:rsidP="00A154A8">
            <w:pPr>
              <w:spacing w:beforeLines="60" w:before="144" w:afterLines="60" w:after="144" w:line="259" w:lineRule="auto"/>
              <w:rPr>
                <w:sz w:val="22"/>
                <w:szCs w:val="22"/>
              </w:rPr>
            </w:pPr>
            <w:r w:rsidRPr="00A154A8">
              <w:rPr>
                <w:sz w:val="22"/>
                <w:szCs w:val="22"/>
              </w:rPr>
              <w:t>CPCCBC4053 Apply building codes and standards to the construction process for Class 2 to 9, Type C buildings</w:t>
            </w:r>
          </w:p>
        </w:tc>
      </w:tr>
      <w:tr w:rsidR="00A154A8" w14:paraId="00A1BE04" w14:textId="77777777" w:rsidTr="006F2397">
        <w:tc>
          <w:tcPr>
            <w:tcW w:w="4591" w:type="dxa"/>
          </w:tcPr>
          <w:p w14:paraId="4D2C050F" w14:textId="6C2F8B25" w:rsidR="00A154A8" w:rsidRPr="00A154A8" w:rsidRDefault="00A154A8" w:rsidP="00A154A8">
            <w:pPr>
              <w:spacing w:beforeLines="60" w:before="144" w:afterLines="60" w:after="144" w:line="259" w:lineRule="auto"/>
              <w:rPr>
                <w:sz w:val="22"/>
                <w:szCs w:val="22"/>
              </w:rPr>
            </w:pPr>
            <w:r w:rsidRPr="00A154A8">
              <w:rPr>
                <w:sz w:val="22"/>
                <w:szCs w:val="22"/>
              </w:rPr>
              <w:t>CPCCBC4010 Apply structural principles to residential and commercial constructions</w:t>
            </w:r>
          </w:p>
        </w:tc>
        <w:tc>
          <w:tcPr>
            <w:tcW w:w="4591" w:type="dxa"/>
          </w:tcPr>
          <w:p w14:paraId="76FA022D" w14:textId="77777777" w:rsidR="00A154A8" w:rsidRPr="00A154A8" w:rsidRDefault="00A154A8" w:rsidP="00A154A8">
            <w:pPr>
              <w:spacing w:beforeLines="60" w:before="144" w:afterLines="60" w:after="144" w:line="259" w:lineRule="auto"/>
              <w:rPr>
                <w:sz w:val="22"/>
                <w:szCs w:val="22"/>
              </w:rPr>
            </w:pPr>
            <w:r w:rsidRPr="00A154A8">
              <w:rPr>
                <w:sz w:val="22"/>
                <w:szCs w:val="22"/>
              </w:rPr>
              <w:t>CPCCBC4053 Apply building codes and standards to the construction process for Class 2 to 9 Type C buildings</w:t>
            </w:r>
          </w:p>
          <w:p w14:paraId="2CCAF18F" w14:textId="70326A03" w:rsidR="00A154A8" w:rsidRPr="00A154A8" w:rsidRDefault="00A154A8" w:rsidP="00A154A8">
            <w:pPr>
              <w:spacing w:beforeLines="60" w:before="144" w:afterLines="60" w:after="144" w:line="259" w:lineRule="auto"/>
              <w:rPr>
                <w:sz w:val="22"/>
                <w:szCs w:val="22"/>
              </w:rPr>
            </w:pPr>
            <w:r w:rsidRPr="00A154A8">
              <w:rPr>
                <w:sz w:val="22"/>
                <w:szCs w:val="22"/>
              </w:rPr>
              <w:t>CPCCBC4001 Apply building codes and standards to the construction process for Class 1 and 10 buildings</w:t>
            </w:r>
          </w:p>
        </w:tc>
      </w:tr>
    </w:tbl>
    <w:p w14:paraId="0584BCCF" w14:textId="77777777" w:rsidR="006F2397" w:rsidRDefault="006F2397" w:rsidP="00372ED8">
      <w:pPr>
        <w:shd w:val="clear" w:color="auto" w:fill="FFFFFF"/>
        <w:spacing w:line="0" w:lineRule="atLeast"/>
        <w:jc w:val="both"/>
        <w:rPr>
          <w:b/>
          <w:bCs/>
        </w:rPr>
      </w:pPr>
    </w:p>
    <w:p w14:paraId="19E8002A" w14:textId="7C132523" w:rsidR="001253C0" w:rsidRDefault="001253C0" w:rsidP="00372ED8">
      <w:pPr>
        <w:shd w:val="clear" w:color="auto" w:fill="FFFFFF"/>
        <w:spacing w:line="0" w:lineRule="atLeast"/>
        <w:jc w:val="both"/>
        <w:rPr>
          <w:b/>
          <w:bCs/>
        </w:rPr>
      </w:pPr>
      <w:r>
        <w:rPr>
          <w:b/>
          <w:bCs/>
        </w:rPr>
        <w:t>Assessment Methodology</w:t>
      </w:r>
    </w:p>
    <w:p w14:paraId="745B033A" w14:textId="77777777" w:rsidR="001253C0" w:rsidRPr="005C5540" w:rsidRDefault="001253C0" w:rsidP="001253C0">
      <w:pPr>
        <w:jc w:val="both"/>
      </w:pPr>
      <w:r w:rsidRPr="005C5540">
        <w:t xml:space="preserve">Assessment methods used for this qualification </w:t>
      </w:r>
      <w:r>
        <w:t xml:space="preserve">are varied and </w:t>
      </w:r>
      <w:r w:rsidRPr="005C5540">
        <w:t>will provide a range of ways for individuals to demonstrate that they have met the required outcomes</w:t>
      </w:r>
      <w:r>
        <w:t>. Assessment methods may include</w:t>
      </w:r>
      <w:r w:rsidRPr="005C5540">
        <w:t>:</w:t>
      </w:r>
    </w:p>
    <w:p w14:paraId="6297BC35" w14:textId="77777777" w:rsidR="001253C0" w:rsidRPr="001129AA" w:rsidRDefault="001253C0" w:rsidP="001253C0">
      <w:pPr>
        <w:pStyle w:val="Bulletstext"/>
        <w:spacing w:line="276" w:lineRule="auto"/>
        <w:ind w:left="720"/>
        <w:jc w:val="both"/>
        <w:rPr>
          <w:rFonts w:asciiTheme="minorHAnsi" w:eastAsiaTheme="minorHAnsi" w:hAnsiTheme="minorHAnsi" w:cstheme="minorBidi"/>
          <w:color w:val="auto"/>
          <w:sz w:val="22"/>
          <w:szCs w:val="22"/>
          <w:lang w:eastAsia="en-US"/>
        </w:rPr>
      </w:pPr>
      <w:r w:rsidRPr="001129AA">
        <w:rPr>
          <w:rFonts w:asciiTheme="minorHAnsi" w:eastAsiaTheme="minorHAnsi" w:hAnsiTheme="minorHAnsi" w:cstheme="minorBidi"/>
          <w:color w:val="auto"/>
          <w:sz w:val="22"/>
          <w:szCs w:val="22"/>
          <w:lang w:eastAsia="en-US"/>
        </w:rPr>
        <w:t>Written questions</w:t>
      </w:r>
    </w:p>
    <w:p w14:paraId="721C2C12" w14:textId="77777777" w:rsidR="001253C0" w:rsidRPr="001129AA" w:rsidRDefault="001253C0" w:rsidP="001253C0">
      <w:pPr>
        <w:pStyle w:val="Bulletstext"/>
        <w:spacing w:line="276" w:lineRule="auto"/>
        <w:ind w:left="720"/>
        <w:jc w:val="both"/>
        <w:rPr>
          <w:rFonts w:asciiTheme="minorHAnsi" w:eastAsiaTheme="minorHAnsi" w:hAnsiTheme="minorHAnsi" w:cstheme="minorBidi"/>
          <w:color w:val="auto"/>
          <w:sz w:val="22"/>
          <w:szCs w:val="22"/>
          <w:lang w:eastAsia="en-US"/>
        </w:rPr>
      </w:pPr>
      <w:r w:rsidRPr="001129AA">
        <w:rPr>
          <w:rFonts w:asciiTheme="minorHAnsi" w:eastAsiaTheme="minorHAnsi" w:hAnsiTheme="minorHAnsi" w:cstheme="minorBidi"/>
          <w:color w:val="auto"/>
          <w:sz w:val="22"/>
          <w:szCs w:val="22"/>
          <w:lang w:eastAsia="en-US"/>
        </w:rPr>
        <w:t xml:space="preserve">Projects </w:t>
      </w:r>
    </w:p>
    <w:p w14:paraId="3DD3A12E" w14:textId="77777777" w:rsidR="001253C0" w:rsidRPr="001129AA" w:rsidRDefault="001253C0" w:rsidP="001253C0">
      <w:pPr>
        <w:pStyle w:val="Bulletstext"/>
        <w:spacing w:line="276" w:lineRule="auto"/>
        <w:ind w:left="720"/>
        <w:jc w:val="both"/>
        <w:rPr>
          <w:rFonts w:asciiTheme="minorHAnsi" w:eastAsiaTheme="minorHAnsi" w:hAnsiTheme="minorHAnsi" w:cstheme="minorBidi"/>
          <w:color w:val="auto"/>
          <w:sz w:val="22"/>
          <w:szCs w:val="22"/>
          <w:lang w:eastAsia="en-US"/>
        </w:rPr>
      </w:pPr>
      <w:r w:rsidRPr="001129AA">
        <w:rPr>
          <w:rFonts w:asciiTheme="minorHAnsi" w:eastAsiaTheme="minorHAnsi" w:hAnsiTheme="minorHAnsi" w:cstheme="minorBidi"/>
          <w:color w:val="auto"/>
          <w:sz w:val="22"/>
          <w:szCs w:val="22"/>
          <w:lang w:eastAsia="en-US"/>
        </w:rPr>
        <w:t>Presentations</w:t>
      </w:r>
    </w:p>
    <w:p w14:paraId="7ADB3840" w14:textId="77777777" w:rsidR="001253C0" w:rsidRPr="001129AA" w:rsidRDefault="001253C0" w:rsidP="001253C0">
      <w:pPr>
        <w:pStyle w:val="Bulletstext"/>
        <w:spacing w:line="276" w:lineRule="auto"/>
        <w:ind w:left="720"/>
        <w:jc w:val="both"/>
        <w:rPr>
          <w:rFonts w:asciiTheme="minorHAnsi" w:eastAsiaTheme="minorHAnsi" w:hAnsiTheme="minorHAnsi" w:cstheme="minorBidi"/>
          <w:color w:val="auto"/>
          <w:sz w:val="22"/>
          <w:szCs w:val="22"/>
          <w:lang w:eastAsia="en-US"/>
        </w:rPr>
      </w:pPr>
      <w:r w:rsidRPr="001129AA">
        <w:rPr>
          <w:rFonts w:asciiTheme="minorHAnsi" w:eastAsiaTheme="minorHAnsi" w:hAnsiTheme="minorHAnsi" w:cstheme="minorBidi"/>
          <w:color w:val="auto"/>
          <w:sz w:val="22"/>
          <w:szCs w:val="22"/>
          <w:lang w:eastAsia="en-US"/>
        </w:rPr>
        <w:t>Report writing</w:t>
      </w:r>
    </w:p>
    <w:p w14:paraId="4709E796" w14:textId="77777777" w:rsidR="001253C0" w:rsidRPr="001129AA" w:rsidRDefault="001253C0" w:rsidP="001253C0">
      <w:pPr>
        <w:pStyle w:val="Bulletstext"/>
        <w:spacing w:line="276" w:lineRule="auto"/>
        <w:ind w:left="720"/>
        <w:jc w:val="both"/>
        <w:rPr>
          <w:rFonts w:asciiTheme="minorHAnsi" w:eastAsiaTheme="minorHAnsi" w:hAnsiTheme="minorHAnsi" w:cstheme="minorBidi"/>
          <w:color w:val="auto"/>
          <w:sz w:val="22"/>
          <w:szCs w:val="22"/>
          <w:lang w:eastAsia="en-US"/>
        </w:rPr>
      </w:pPr>
      <w:r w:rsidRPr="001129AA">
        <w:rPr>
          <w:rFonts w:asciiTheme="minorHAnsi" w:eastAsiaTheme="minorHAnsi" w:hAnsiTheme="minorHAnsi" w:cstheme="minorBidi"/>
          <w:color w:val="auto"/>
          <w:sz w:val="22"/>
          <w:szCs w:val="22"/>
          <w:lang w:eastAsia="en-US"/>
        </w:rPr>
        <w:t>Role plays/observations</w:t>
      </w:r>
    </w:p>
    <w:p w14:paraId="6206348A" w14:textId="77777777" w:rsidR="001253C0" w:rsidRPr="00D837D7" w:rsidRDefault="001253C0" w:rsidP="001253C0">
      <w:pPr>
        <w:jc w:val="both"/>
      </w:pPr>
      <w:r w:rsidRPr="00D837D7">
        <w:t>At the beginning of each unit,</w:t>
      </w:r>
      <w:r>
        <w:t xml:space="preserve"> your trainer and assessor </w:t>
      </w:r>
      <w:r w:rsidRPr="00D837D7">
        <w:t>will outline the assessment tasks that must be completed.</w:t>
      </w:r>
    </w:p>
    <w:p w14:paraId="2BFB029C" w14:textId="4E176A9F" w:rsidR="00FD4919" w:rsidRDefault="00FD4919" w:rsidP="00FD4919">
      <w:pPr>
        <w:shd w:val="clear" w:color="auto" w:fill="FFFFFF"/>
        <w:spacing w:line="0" w:lineRule="atLeast"/>
        <w:jc w:val="both"/>
        <w:rPr>
          <w:b/>
          <w:bCs/>
        </w:rPr>
      </w:pPr>
      <w:r>
        <w:rPr>
          <w:b/>
          <w:bCs/>
        </w:rPr>
        <w:t>Facilities and Resources</w:t>
      </w:r>
    </w:p>
    <w:p w14:paraId="579FE36D" w14:textId="167F1A35" w:rsidR="00FD4919" w:rsidRDefault="00FD4919" w:rsidP="00FD4919">
      <w:r>
        <w:t xml:space="preserve">Your classes will be conducted in modern </w:t>
      </w:r>
      <w:r w:rsidR="00532F4F">
        <w:t>classrooms,</w:t>
      </w:r>
      <w:r>
        <w:t xml:space="preserve"> and you will be able to access Wi-Fi. There are also areas for you to relax, as well as conduct additional study.  </w:t>
      </w:r>
    </w:p>
    <w:p w14:paraId="2BE4B4C0" w14:textId="77777777" w:rsidR="00FD4919" w:rsidRDefault="00FD4919" w:rsidP="00402E02">
      <w:pPr>
        <w:jc w:val="both"/>
      </w:pPr>
      <w:r>
        <w:t xml:space="preserve">You will be provided with a Student Guide relevant to each unit in your course. Recommended textbooks are also available onsite for you to use and borrow if you wish. You may also purchase these textbooks if you require. </w:t>
      </w:r>
    </w:p>
    <w:p w14:paraId="74DEB607" w14:textId="77777777" w:rsidR="00F236EA" w:rsidRDefault="00F236EA" w:rsidP="00FD4919"/>
    <w:p w14:paraId="5C05E6BD" w14:textId="637D96BF" w:rsidR="009671FD" w:rsidRDefault="00782EB7" w:rsidP="009671FD">
      <w:pPr>
        <w:shd w:val="clear" w:color="auto" w:fill="FFFFFF"/>
        <w:spacing w:line="0" w:lineRule="atLeast"/>
        <w:jc w:val="both"/>
      </w:pPr>
      <w:r>
        <w:lastRenderedPageBreak/>
        <w:t xml:space="preserve">The student </w:t>
      </w:r>
      <w:r w:rsidR="009671FD">
        <w:t>must have</w:t>
      </w:r>
      <w:r>
        <w:t xml:space="preserve"> National Construction Code (NCC) 2016 (Volume One and Volume Two).</w:t>
      </w:r>
      <w:r w:rsidR="009671FD">
        <w:t xml:space="preserve"> </w:t>
      </w:r>
      <w:r w:rsidR="009671FD">
        <w:t xml:space="preserve">These are available </w:t>
      </w:r>
      <w:r w:rsidR="009671FD">
        <w:t>online,</w:t>
      </w:r>
      <w:r w:rsidR="009671FD">
        <w:t xml:space="preserve"> but learners are strongly advised to</w:t>
      </w:r>
      <w:r w:rsidR="009671FD">
        <w:t xml:space="preserve"> </w:t>
      </w:r>
      <w:r w:rsidR="009671FD">
        <w:t>purchase hard copy editions of these texts.</w:t>
      </w:r>
    </w:p>
    <w:p w14:paraId="244C3291" w14:textId="28B0D1F9" w:rsidR="00782EB7" w:rsidRDefault="00782EB7" w:rsidP="009671FD">
      <w:pPr>
        <w:pStyle w:val="ListParagraph"/>
        <w:numPr>
          <w:ilvl w:val="0"/>
          <w:numId w:val="33"/>
        </w:numPr>
        <w:shd w:val="clear" w:color="auto" w:fill="FFFFFF"/>
        <w:spacing w:line="0" w:lineRule="atLeast"/>
        <w:jc w:val="both"/>
      </w:pPr>
      <w:r>
        <w:t>NCC 2016 Volumes One and Two, AS 1684.2 Timber Framing Manual – Part 2 and AS 1684.2 Timber Framing</w:t>
      </w:r>
      <w:r w:rsidR="009671FD">
        <w:t xml:space="preserve"> </w:t>
      </w:r>
      <w:r>
        <w:t xml:space="preserve">Manual – Part 4 are required for the course. </w:t>
      </w:r>
    </w:p>
    <w:p w14:paraId="1A3CB6E0" w14:textId="5DDB40F6" w:rsidR="00782EB7" w:rsidRDefault="00782EB7" w:rsidP="00782EB7">
      <w:pPr>
        <w:shd w:val="clear" w:color="auto" w:fill="FFFFFF"/>
        <w:spacing w:line="0" w:lineRule="atLeast"/>
        <w:jc w:val="both"/>
      </w:pPr>
      <w:r>
        <w:t xml:space="preserve">The following texts are available free </w:t>
      </w:r>
      <w:r w:rsidR="00C63297">
        <w:t>online,</w:t>
      </w:r>
      <w:r>
        <w:t xml:space="preserve"> but learners may prefer to purchase a hard copy for ease of access.</w:t>
      </w:r>
    </w:p>
    <w:p w14:paraId="1B2A0BEC" w14:textId="32121390" w:rsidR="00C63297" w:rsidRDefault="00782EB7" w:rsidP="00C63297">
      <w:pPr>
        <w:shd w:val="clear" w:color="auto" w:fill="FFFFFF"/>
        <w:spacing w:line="0" w:lineRule="atLeast"/>
        <w:jc w:val="both"/>
      </w:pPr>
      <w:r>
        <w:t>• Building Act 1993</w:t>
      </w:r>
      <w:r w:rsidR="00C63297" w:rsidRPr="00C63297">
        <w:t xml:space="preserve"> </w:t>
      </w:r>
      <w:r w:rsidR="00C63297">
        <w:t>Building Regulations 2018</w:t>
      </w:r>
    </w:p>
    <w:p w14:paraId="37180C9D" w14:textId="77777777" w:rsidR="00C63297" w:rsidRDefault="00C63297" w:rsidP="00C63297">
      <w:pPr>
        <w:shd w:val="clear" w:color="auto" w:fill="FFFFFF"/>
        <w:spacing w:line="0" w:lineRule="atLeast"/>
        <w:jc w:val="both"/>
      </w:pPr>
      <w:r>
        <w:t>• Domestic Contracts Act 1995</w:t>
      </w:r>
    </w:p>
    <w:p w14:paraId="30A8BF7F" w14:textId="77777777" w:rsidR="00C63297" w:rsidRDefault="00C63297" w:rsidP="00C63297">
      <w:pPr>
        <w:shd w:val="clear" w:color="auto" w:fill="FFFFFF"/>
        <w:spacing w:line="0" w:lineRule="atLeast"/>
        <w:jc w:val="both"/>
      </w:pPr>
      <w:r>
        <w:t>• Domestic Building Contract Regulations 2017</w:t>
      </w:r>
    </w:p>
    <w:p w14:paraId="54C74A85" w14:textId="77777777" w:rsidR="00C63297" w:rsidRDefault="00C63297" w:rsidP="00C63297">
      <w:pPr>
        <w:shd w:val="clear" w:color="auto" w:fill="FFFFFF"/>
        <w:spacing w:line="0" w:lineRule="atLeast"/>
        <w:jc w:val="both"/>
      </w:pPr>
      <w:r>
        <w:t>• Building and Construction Industry Security of Payment Act 2002</w:t>
      </w:r>
    </w:p>
    <w:p w14:paraId="7C82B2EB" w14:textId="77777777" w:rsidR="00C63297" w:rsidRDefault="00C63297" w:rsidP="00C63297">
      <w:pPr>
        <w:shd w:val="clear" w:color="auto" w:fill="FFFFFF"/>
        <w:spacing w:line="0" w:lineRule="atLeast"/>
        <w:jc w:val="both"/>
      </w:pPr>
      <w:r>
        <w:t>• Occupational Health and Safety Act 2004</w:t>
      </w:r>
    </w:p>
    <w:p w14:paraId="2F120C67" w14:textId="3D16E313" w:rsidR="009D7935" w:rsidRDefault="00C63297" w:rsidP="00C63297">
      <w:pPr>
        <w:shd w:val="clear" w:color="auto" w:fill="FFFFFF"/>
        <w:spacing w:line="0" w:lineRule="atLeast"/>
        <w:jc w:val="both"/>
      </w:pPr>
      <w:r>
        <w:t>• Occupational Health and Safety Regulations 2017</w:t>
      </w:r>
    </w:p>
    <w:p w14:paraId="2D85547D" w14:textId="77777777" w:rsidR="00C63297" w:rsidRDefault="00C63297" w:rsidP="00782EB7">
      <w:pPr>
        <w:shd w:val="clear" w:color="auto" w:fill="FFFFFF"/>
        <w:spacing w:line="0" w:lineRule="atLeast"/>
        <w:jc w:val="both"/>
        <w:rPr>
          <w:b/>
          <w:bCs/>
        </w:rPr>
      </w:pPr>
    </w:p>
    <w:p w14:paraId="1BA9572C" w14:textId="17E7B4DC" w:rsidR="000013EE" w:rsidRDefault="000013EE" w:rsidP="00FD4919">
      <w:pPr>
        <w:shd w:val="clear" w:color="auto" w:fill="FFFFFF"/>
        <w:spacing w:line="0" w:lineRule="atLeast"/>
        <w:jc w:val="both"/>
        <w:rPr>
          <w:b/>
          <w:bCs/>
        </w:rPr>
      </w:pPr>
      <w:r>
        <w:rPr>
          <w:b/>
          <w:bCs/>
        </w:rPr>
        <w:t xml:space="preserve">Course Progress </w:t>
      </w:r>
      <w:r w:rsidR="00045376">
        <w:rPr>
          <w:b/>
          <w:bCs/>
        </w:rPr>
        <w:t>Policy</w:t>
      </w:r>
    </w:p>
    <w:p w14:paraId="326C21B6" w14:textId="3487AE30" w:rsidR="003A0360" w:rsidRPr="006D54C6" w:rsidRDefault="00532F4F" w:rsidP="003A0360">
      <w:pPr>
        <w:jc w:val="both"/>
      </w:pPr>
      <w:r>
        <w:t>GET Education Australia</w:t>
      </w:r>
      <w:r w:rsidR="003A0360" w:rsidRPr="006D54C6">
        <w:t xml:space="preserve"> will monitor, </w:t>
      </w:r>
      <w:proofErr w:type="gramStart"/>
      <w:r w:rsidR="003A0360" w:rsidRPr="006D54C6">
        <w:t>records</w:t>
      </w:r>
      <w:proofErr w:type="gramEnd"/>
      <w:r w:rsidR="003A0360" w:rsidRPr="006D54C6">
        <w:t xml:space="preserve"> and assesses the course progress of each student for the course in which the student is enrolled. </w:t>
      </w:r>
      <w:r w:rsidR="00045376">
        <w:t xml:space="preserve">Course Progress Policy defines </w:t>
      </w:r>
      <w:r w:rsidR="003A0360" w:rsidRPr="006D54C6">
        <w:t xml:space="preserve">the requirements for student satisfactory course progress, the processes for monitoring, </w:t>
      </w:r>
      <w:proofErr w:type="gramStart"/>
      <w:r w:rsidR="003A0360" w:rsidRPr="006D54C6">
        <w:t>recording</w:t>
      </w:r>
      <w:proofErr w:type="gramEnd"/>
      <w:r w:rsidR="003A0360" w:rsidRPr="006D54C6">
        <w:t xml:space="preserve"> and assessing the student course progress and the processes for the </w:t>
      </w:r>
      <w:r>
        <w:t>GET Education Australia</w:t>
      </w:r>
      <w:r w:rsidR="003A0360" w:rsidRPr="006D54C6">
        <w:t xml:space="preserve"> intervention strategies for identifying and assisting students to achieve satisfactory course progress. The procedure sets out the processes for reporting student unsatisfactory course progress on PRISMS according to ESOS Act Section 19.</w:t>
      </w:r>
    </w:p>
    <w:p w14:paraId="73B961AE" w14:textId="5D575304" w:rsidR="003A0360" w:rsidRPr="006D54C6" w:rsidRDefault="00532F4F" w:rsidP="003A0360">
      <w:pPr>
        <w:jc w:val="both"/>
      </w:pPr>
      <w:r>
        <w:t>GET Education Australia</w:t>
      </w:r>
      <w:r w:rsidR="003A0360" w:rsidRPr="006D54C6">
        <w:t xml:space="preserve"> assess student’s progress at the end of each compulsory Term. The Term is 1</w:t>
      </w:r>
      <w:r w:rsidR="00045376">
        <w:t>1</w:t>
      </w:r>
      <w:r w:rsidR="003A0360" w:rsidRPr="006D54C6">
        <w:t xml:space="preserve"> weeks long </w:t>
      </w:r>
      <w:r w:rsidR="003A0360">
        <w:t>for all qualifications on CRICOS scope</w:t>
      </w:r>
      <w:r w:rsidR="003A0360" w:rsidRPr="006D54C6">
        <w:t xml:space="preserve">. </w:t>
      </w:r>
      <w:r w:rsidR="003A0360">
        <w:t>While every attempt would be made to keep consistency</w:t>
      </w:r>
      <w:r w:rsidR="00045376">
        <w:t xml:space="preserve"> in term weeks</w:t>
      </w:r>
      <w:r w:rsidR="003A0360">
        <w:t xml:space="preserve">, however number of weeks in the defined term may also factor in the duration and the completion of units of competency, which enable </w:t>
      </w:r>
      <w:r>
        <w:t>GET Education Australia</w:t>
      </w:r>
      <w:r w:rsidR="003A0360">
        <w:t xml:space="preserve"> to determine student participation and course progress in any given successfully completed term. </w:t>
      </w:r>
      <w:r w:rsidR="003A0360" w:rsidRPr="006D54C6">
        <w:t xml:space="preserve">One Term is considered the minimum length of time in which it is reasonable for the </w:t>
      </w:r>
      <w:r w:rsidR="003A0360">
        <w:t>Administration Manager</w:t>
      </w:r>
      <w:r w:rsidR="003A0360" w:rsidRPr="006D54C6">
        <w:t xml:space="preserve"> to </w:t>
      </w:r>
      <w:proofErr w:type="gramStart"/>
      <w:r w:rsidR="003A0360" w:rsidRPr="006D54C6">
        <w:t>make an assessment of</w:t>
      </w:r>
      <w:proofErr w:type="gramEnd"/>
      <w:r w:rsidR="003A0360" w:rsidRPr="006D54C6">
        <w:t xml:space="preserve"> a student’s course progress.</w:t>
      </w:r>
    </w:p>
    <w:p w14:paraId="59B2EDA3" w14:textId="4AA0943A" w:rsidR="003A0360" w:rsidRPr="006D54C6" w:rsidRDefault="003A0360" w:rsidP="003A0360">
      <w:pPr>
        <w:pStyle w:val="ListParagraph"/>
        <w:numPr>
          <w:ilvl w:val="0"/>
          <w:numId w:val="16"/>
        </w:numPr>
        <w:spacing w:before="120" w:after="120" w:line="276" w:lineRule="auto"/>
        <w:jc w:val="both"/>
      </w:pPr>
      <w:r w:rsidRPr="006D54C6">
        <w:t>Satisfactory course progress is achieved where a student successfully completes at least 50% of course requirements in a successfully completed Term</w:t>
      </w:r>
      <w:r w:rsidR="00045376">
        <w:t>.</w:t>
      </w:r>
    </w:p>
    <w:p w14:paraId="405374F6" w14:textId="77777777" w:rsidR="003A0360" w:rsidRPr="006D54C6" w:rsidRDefault="003A0360" w:rsidP="003A0360">
      <w:pPr>
        <w:pStyle w:val="ListParagraph"/>
        <w:numPr>
          <w:ilvl w:val="0"/>
          <w:numId w:val="16"/>
        </w:numPr>
        <w:spacing w:before="120" w:after="120" w:line="276" w:lineRule="auto"/>
        <w:jc w:val="both"/>
      </w:pPr>
      <w:r w:rsidRPr="006D54C6">
        <w:t>Unsatisfactory progress is defined as not successfully completing or demonstrating competency in more than 50% of the course requirements in a successfully completed Term.</w:t>
      </w:r>
    </w:p>
    <w:p w14:paraId="5CBAC6AD" w14:textId="577CA186" w:rsidR="003A0360" w:rsidRPr="006D54C6" w:rsidRDefault="003A0360" w:rsidP="003A0360">
      <w:pPr>
        <w:pStyle w:val="ListParagraph"/>
        <w:numPr>
          <w:ilvl w:val="0"/>
          <w:numId w:val="16"/>
        </w:numPr>
        <w:spacing w:before="120" w:after="120" w:line="276" w:lineRule="auto"/>
        <w:jc w:val="both"/>
      </w:pPr>
      <w:r w:rsidRPr="006D54C6">
        <w:t xml:space="preserve">Course breach is defined as not successfully completing or demonstrating competency in more than 50% of the course requirements in TWO consecutives successfully completed Terms or NOT responding to intervention meeting invitation within </w:t>
      </w:r>
      <w:r w:rsidR="00045376">
        <w:t>10</w:t>
      </w:r>
      <w:r w:rsidRPr="006D54C6">
        <w:t xml:space="preserve"> working days from the receiving the invitation.</w:t>
      </w:r>
    </w:p>
    <w:p w14:paraId="0464B55D" w14:textId="21450E7C" w:rsidR="003A0360" w:rsidRPr="006D54C6" w:rsidRDefault="00532F4F" w:rsidP="003A0360">
      <w:pPr>
        <w:jc w:val="both"/>
      </w:pPr>
      <w:r>
        <w:t>GET Education Australia</w:t>
      </w:r>
      <w:r w:rsidR="003A0360" w:rsidRPr="006D54C6">
        <w:t xml:space="preserve"> will also monitor overseas student attendance (but would not report, unless otherwise required) in the process of course progress monitoring and reporting. However overseas students must meet their visa obligations regarding attendance, wherever applicable.</w:t>
      </w:r>
    </w:p>
    <w:p w14:paraId="0664F4BD" w14:textId="56CD7CC5" w:rsidR="000013EE" w:rsidRPr="000013EE" w:rsidRDefault="000013EE" w:rsidP="003A0360">
      <w:pPr>
        <w:pStyle w:val="RTOWorksBodyText"/>
        <w:jc w:val="both"/>
        <w:rPr>
          <w:rFonts w:asciiTheme="minorHAnsi" w:hAnsiTheme="minorHAnsi" w:cstheme="minorBidi"/>
          <w:sz w:val="22"/>
          <w:szCs w:val="22"/>
        </w:rPr>
      </w:pPr>
      <w:r w:rsidRPr="000013EE">
        <w:rPr>
          <w:rFonts w:asciiTheme="minorHAnsi" w:hAnsiTheme="minorHAnsi" w:cstheme="minorBidi"/>
          <w:sz w:val="22"/>
          <w:szCs w:val="22"/>
        </w:rPr>
        <w:lastRenderedPageBreak/>
        <w:t xml:space="preserve">You will also be provided with further information about course progress and attendance requirements at your orientation.  </w:t>
      </w:r>
      <w:r w:rsidR="00045376" w:rsidRPr="00045376">
        <w:rPr>
          <w:rFonts w:asciiTheme="minorHAnsi" w:hAnsiTheme="minorHAnsi" w:cstheme="minorBidi"/>
          <w:sz w:val="22"/>
          <w:szCs w:val="22"/>
        </w:rPr>
        <w:t>For further details, please refer to Course Progress Policy and Procedure</w:t>
      </w:r>
      <w:r w:rsidR="00045376">
        <w:rPr>
          <w:rFonts w:asciiTheme="minorHAnsi" w:hAnsiTheme="minorHAnsi" w:cstheme="minorBidi"/>
          <w:sz w:val="22"/>
          <w:szCs w:val="22"/>
        </w:rPr>
        <w:t>.</w:t>
      </w:r>
    </w:p>
    <w:p w14:paraId="6D838F4D" w14:textId="296A8A1B" w:rsidR="00BD61F7" w:rsidRPr="00BD61F7" w:rsidRDefault="00BD61F7" w:rsidP="00372ED8">
      <w:pPr>
        <w:shd w:val="clear" w:color="auto" w:fill="FFFFFF"/>
        <w:spacing w:line="0" w:lineRule="atLeast"/>
        <w:jc w:val="both"/>
        <w:rPr>
          <w:b/>
          <w:bCs/>
        </w:rPr>
      </w:pPr>
      <w:r w:rsidRPr="00BD61F7">
        <w:rPr>
          <w:b/>
          <w:bCs/>
        </w:rPr>
        <w:t>Recognition of Prior Learning (RPL)</w:t>
      </w:r>
      <w:r>
        <w:rPr>
          <w:b/>
          <w:bCs/>
        </w:rPr>
        <w:t>/</w:t>
      </w:r>
      <w:r w:rsidRPr="00BD61F7">
        <w:rPr>
          <w:b/>
          <w:bCs/>
        </w:rPr>
        <w:t>Credit Transfer (CT)</w:t>
      </w:r>
    </w:p>
    <w:p w14:paraId="0B9DF530" w14:textId="2D3B8DB1" w:rsidR="00443F1B" w:rsidRDefault="00532F4F" w:rsidP="00372ED8">
      <w:pPr>
        <w:spacing w:after="0" w:line="276" w:lineRule="auto"/>
        <w:contextualSpacing/>
        <w:jc w:val="both"/>
      </w:pPr>
      <w:bookmarkStart w:id="4" w:name="_Hlk37767627"/>
      <w:r>
        <w:t>GET Education Australia</w:t>
      </w:r>
      <w:r w:rsidR="00BD61F7" w:rsidRPr="00713EA4">
        <w:t xml:space="preserve"> </w:t>
      </w:r>
      <w:bookmarkEnd w:id="4"/>
      <w:r w:rsidR="00BD61F7" w:rsidRPr="00713EA4">
        <w:t xml:space="preserve">will offer Recognition of Prior Learning (RPL) and Credit Transfer (CT) to all prospective students through the enrolment process. </w:t>
      </w:r>
      <w:r>
        <w:t>GET Education Australia</w:t>
      </w:r>
      <w:r w:rsidR="00BD61F7" w:rsidRPr="00713EA4">
        <w:t xml:space="preserve"> has documented policies and procedures for these processes and students are provided details of how to apply for RPL or Credit Transfer through the enrolment process. For further details, please refer to </w:t>
      </w:r>
      <w:r w:rsidR="000013EE">
        <w:t>RPL and Credit Transfer Policy and Procedure.</w:t>
      </w:r>
    </w:p>
    <w:p w14:paraId="3F37A4D3" w14:textId="77777777" w:rsidR="001802F4" w:rsidRPr="009A1ED4" w:rsidRDefault="001802F4" w:rsidP="00045376">
      <w:pPr>
        <w:pStyle w:val="Heading2"/>
        <w:jc w:val="both"/>
        <w:rPr>
          <w:rFonts w:asciiTheme="minorHAnsi" w:hAnsiTheme="minorHAnsi" w:cs="Tahoma"/>
          <w:sz w:val="4"/>
          <w:szCs w:val="4"/>
        </w:rPr>
      </w:pPr>
    </w:p>
    <w:p w14:paraId="065DD06A" w14:textId="6FFFB109" w:rsidR="00045376" w:rsidRPr="00290165" w:rsidRDefault="00045376" w:rsidP="00045376">
      <w:pPr>
        <w:pStyle w:val="Heading2"/>
        <w:jc w:val="both"/>
        <w:rPr>
          <w:rFonts w:asciiTheme="minorHAnsi" w:hAnsiTheme="minorHAnsi" w:cs="Tahoma"/>
          <w:sz w:val="22"/>
          <w:szCs w:val="22"/>
        </w:rPr>
      </w:pPr>
      <w:r w:rsidRPr="00290165">
        <w:rPr>
          <w:rFonts w:asciiTheme="minorHAnsi" w:hAnsiTheme="minorHAnsi" w:cs="Tahoma"/>
          <w:sz w:val="22"/>
          <w:szCs w:val="22"/>
        </w:rPr>
        <w:t>Refund Policy Conditions and Processes</w:t>
      </w:r>
    </w:p>
    <w:p w14:paraId="581113B3" w14:textId="77777777" w:rsidR="00045376" w:rsidRPr="00290165" w:rsidRDefault="00045376" w:rsidP="00045376">
      <w:pPr>
        <w:spacing w:before="120" w:after="120"/>
        <w:ind w:right="-46"/>
        <w:jc w:val="both"/>
        <w:rPr>
          <w:rFonts w:cstheme="minorHAnsi"/>
        </w:rPr>
      </w:pPr>
      <w:r w:rsidRPr="00290165">
        <w:rPr>
          <w:rFonts w:cstheme="minorHAnsi"/>
        </w:rPr>
        <w:t xml:space="preserve">Refund of the fees will only be granted in accordance with the refund policy set out below. </w:t>
      </w:r>
    </w:p>
    <w:p w14:paraId="222DA5C7" w14:textId="77777777" w:rsidR="00045376" w:rsidRPr="00290165" w:rsidRDefault="00045376" w:rsidP="00045376">
      <w:pPr>
        <w:spacing w:before="120" w:after="0"/>
        <w:ind w:right="-46"/>
        <w:jc w:val="both"/>
        <w:rPr>
          <w:rFonts w:cstheme="minorHAnsi"/>
        </w:rPr>
      </w:pPr>
      <w:r w:rsidRPr="00290165">
        <w:rPr>
          <w:rFonts w:cstheme="minorHAnsi"/>
        </w:rPr>
        <w:t xml:space="preserve">Any student willing to apply for a refund must submit a completed ‘Refund Application Form’ to Student Administration. The application form can be accessed by: </w:t>
      </w:r>
    </w:p>
    <w:p w14:paraId="4C3D7E69" w14:textId="77777777" w:rsidR="00045376" w:rsidRPr="00290165" w:rsidRDefault="00045376" w:rsidP="00045376">
      <w:pPr>
        <w:numPr>
          <w:ilvl w:val="0"/>
          <w:numId w:val="17"/>
        </w:numPr>
        <w:spacing w:after="5" w:line="250" w:lineRule="auto"/>
        <w:ind w:left="360" w:right="-46" w:hanging="360"/>
        <w:jc w:val="both"/>
        <w:rPr>
          <w:rFonts w:cstheme="minorHAnsi"/>
        </w:rPr>
      </w:pPr>
      <w:r w:rsidRPr="00290165">
        <w:rPr>
          <w:rFonts w:cstheme="minorHAnsi"/>
        </w:rPr>
        <w:t xml:space="preserve">Contacting Student Administration </w:t>
      </w:r>
    </w:p>
    <w:p w14:paraId="6E27680B" w14:textId="7E8C0AF8" w:rsidR="00045376" w:rsidRPr="00290165" w:rsidRDefault="00045376" w:rsidP="00045376">
      <w:pPr>
        <w:numPr>
          <w:ilvl w:val="0"/>
          <w:numId w:val="17"/>
        </w:numPr>
        <w:spacing w:after="5" w:line="250" w:lineRule="auto"/>
        <w:ind w:left="360" w:right="-46" w:hanging="360"/>
        <w:jc w:val="both"/>
        <w:rPr>
          <w:rFonts w:cstheme="minorHAnsi"/>
        </w:rPr>
      </w:pPr>
      <w:r w:rsidRPr="00290165">
        <w:rPr>
          <w:rFonts w:cstheme="minorHAnsi"/>
        </w:rPr>
        <w:t xml:space="preserve">Accessing </w:t>
      </w:r>
      <w:r w:rsidR="00532F4F">
        <w:rPr>
          <w:rFonts w:cstheme="minorHAnsi"/>
        </w:rPr>
        <w:t>GET Education Australia</w:t>
      </w:r>
      <w:r w:rsidRPr="00290165">
        <w:rPr>
          <w:rFonts w:cstheme="minorHAnsi"/>
        </w:rPr>
        <w:t xml:space="preserve">’s website </w:t>
      </w:r>
    </w:p>
    <w:p w14:paraId="78CF6F65" w14:textId="77777777" w:rsidR="00045376" w:rsidRPr="00290165" w:rsidRDefault="00045376" w:rsidP="00045376">
      <w:pPr>
        <w:spacing w:before="120" w:after="120"/>
        <w:ind w:right="-46"/>
        <w:jc w:val="both"/>
        <w:rPr>
          <w:rFonts w:cstheme="minorHAnsi"/>
        </w:rPr>
      </w:pPr>
      <w:r w:rsidRPr="00290165">
        <w:rPr>
          <w:rFonts w:cstheme="minorHAnsi"/>
        </w:rPr>
        <w:t xml:space="preserve">All refund applications are to be assessed by the Administration Manager and applications processed within Twenty (20) working days of the application and evidence of documentation received. The </w:t>
      </w:r>
      <w:proofErr w:type="gramStart"/>
      <w:r w:rsidRPr="00290165">
        <w:rPr>
          <w:rFonts w:cstheme="minorHAnsi"/>
        </w:rPr>
        <w:t>Student</w:t>
      </w:r>
      <w:proofErr w:type="gramEnd"/>
      <w:r w:rsidRPr="00290165">
        <w:rPr>
          <w:rFonts w:cstheme="minorHAnsi"/>
        </w:rPr>
        <w:t xml:space="preserve"> will need to supply in writing, the nominated method of reimbursement. Refunds are accompanied by a statement outlining the total refunded amount.</w:t>
      </w:r>
    </w:p>
    <w:p w14:paraId="7084381C" w14:textId="77777777" w:rsidR="00045376" w:rsidRPr="00290165" w:rsidRDefault="00045376" w:rsidP="00045376">
      <w:pPr>
        <w:spacing w:after="0"/>
        <w:jc w:val="both"/>
        <w:rPr>
          <w:rFonts w:cstheme="minorHAnsi"/>
          <w:b/>
        </w:rPr>
      </w:pPr>
      <w:r w:rsidRPr="00290165">
        <w:rPr>
          <w:rFonts w:cstheme="minorHAnsi"/>
          <w:b/>
        </w:rPr>
        <w:t xml:space="preserve">Please note: </w:t>
      </w:r>
    </w:p>
    <w:p w14:paraId="1B69879B" w14:textId="77777777" w:rsidR="00045376" w:rsidRPr="00290165" w:rsidRDefault="00045376" w:rsidP="00045376">
      <w:pPr>
        <w:numPr>
          <w:ilvl w:val="0"/>
          <w:numId w:val="18"/>
        </w:numPr>
        <w:spacing w:after="36" w:line="250" w:lineRule="auto"/>
        <w:ind w:left="360" w:right="9" w:hanging="360"/>
        <w:jc w:val="both"/>
        <w:rPr>
          <w:rFonts w:cstheme="minorHAnsi"/>
          <w:b/>
        </w:rPr>
      </w:pPr>
      <w:r w:rsidRPr="00290165">
        <w:rPr>
          <w:rFonts w:cstheme="minorHAnsi"/>
          <w:b/>
        </w:rPr>
        <w:t xml:space="preserve">Refunds applications after course commencement is only in relation to Tuition Fees only. Tuition fees and Material fees are specified in the Enrolment Acceptance Agreement. </w:t>
      </w:r>
    </w:p>
    <w:p w14:paraId="3A83FB7B" w14:textId="25DD3A99" w:rsidR="00045376" w:rsidRPr="00290165" w:rsidRDefault="00532F4F" w:rsidP="00045376">
      <w:pPr>
        <w:numPr>
          <w:ilvl w:val="0"/>
          <w:numId w:val="18"/>
        </w:numPr>
        <w:spacing w:after="36" w:line="250" w:lineRule="auto"/>
        <w:ind w:left="360" w:right="9" w:hanging="360"/>
        <w:jc w:val="both"/>
        <w:rPr>
          <w:rFonts w:cstheme="minorHAnsi"/>
          <w:b/>
        </w:rPr>
      </w:pPr>
      <w:r>
        <w:rPr>
          <w:rFonts w:cstheme="minorHAnsi"/>
          <w:b/>
        </w:rPr>
        <w:t>GET Education Australia</w:t>
      </w:r>
      <w:r w:rsidR="00045376" w:rsidRPr="00290165">
        <w:rPr>
          <w:rFonts w:cstheme="minorHAnsi"/>
          <w:b/>
        </w:rPr>
        <w:t xml:space="preserve"> is not able to provide any refunds for fees paid to third parties such as Health insurance or fees paid directly to an education agent. </w:t>
      </w:r>
    </w:p>
    <w:p w14:paraId="74538408" w14:textId="16EF26AA" w:rsidR="00045376" w:rsidRPr="00290165" w:rsidRDefault="00045376" w:rsidP="00045376">
      <w:pPr>
        <w:numPr>
          <w:ilvl w:val="0"/>
          <w:numId w:val="18"/>
        </w:numPr>
        <w:spacing w:after="36" w:line="250" w:lineRule="auto"/>
        <w:ind w:left="360" w:right="9" w:hanging="360"/>
        <w:jc w:val="both"/>
        <w:rPr>
          <w:rFonts w:cstheme="minorHAnsi"/>
          <w:b/>
        </w:rPr>
      </w:pPr>
      <w:r w:rsidRPr="00290165">
        <w:rPr>
          <w:rFonts w:cstheme="minorHAnsi"/>
          <w:b/>
        </w:rPr>
        <w:t xml:space="preserve">Where the student breaches </w:t>
      </w:r>
      <w:r w:rsidR="00532F4F">
        <w:rPr>
          <w:rFonts w:cstheme="minorHAnsi"/>
          <w:b/>
        </w:rPr>
        <w:t>GET Education Australia</w:t>
      </w:r>
      <w:r w:rsidRPr="00290165">
        <w:rPr>
          <w:rFonts w:cstheme="minorHAnsi"/>
          <w:b/>
        </w:rPr>
        <w:t xml:space="preserve"> Policies and Procedures no refund is payable. </w:t>
      </w:r>
    </w:p>
    <w:p w14:paraId="42FD2BC1" w14:textId="77777777" w:rsidR="00045376" w:rsidRPr="00290165" w:rsidRDefault="00045376" w:rsidP="00045376">
      <w:pPr>
        <w:numPr>
          <w:ilvl w:val="0"/>
          <w:numId w:val="18"/>
        </w:numPr>
        <w:spacing w:after="36" w:line="250" w:lineRule="auto"/>
        <w:ind w:left="360" w:right="9" w:hanging="360"/>
        <w:jc w:val="both"/>
        <w:rPr>
          <w:rFonts w:cstheme="minorHAnsi"/>
          <w:b/>
        </w:rPr>
      </w:pPr>
      <w:r w:rsidRPr="00290165">
        <w:rPr>
          <w:rFonts w:cstheme="minorHAnsi"/>
          <w:b/>
        </w:rPr>
        <w:t>Students cannot apply for a refund where there is default on payment of Tuition and material fees.</w:t>
      </w:r>
    </w:p>
    <w:p w14:paraId="058466E8" w14:textId="77777777" w:rsidR="00045376" w:rsidRPr="00290165" w:rsidRDefault="00045376" w:rsidP="00045376">
      <w:pPr>
        <w:numPr>
          <w:ilvl w:val="0"/>
          <w:numId w:val="18"/>
        </w:numPr>
        <w:spacing w:after="36" w:line="250" w:lineRule="auto"/>
        <w:ind w:left="360" w:right="9" w:hanging="360"/>
        <w:jc w:val="both"/>
        <w:rPr>
          <w:rFonts w:cstheme="minorHAnsi"/>
          <w:b/>
        </w:rPr>
      </w:pPr>
      <w:r w:rsidRPr="00290165">
        <w:rPr>
          <w:rFonts w:cstheme="minorHAnsi"/>
          <w:b/>
        </w:rPr>
        <w:t xml:space="preserve">Payment of a refund application cancels a student’s enrolment. </w:t>
      </w:r>
    </w:p>
    <w:p w14:paraId="436C72F3" w14:textId="77777777" w:rsidR="00045376" w:rsidRPr="00290165" w:rsidRDefault="00045376" w:rsidP="00545A65">
      <w:pPr>
        <w:spacing w:after="0"/>
        <w:jc w:val="both"/>
        <w:rPr>
          <w:rFonts w:eastAsiaTheme="majorEastAsia" w:cs="Tahoma"/>
          <w:b/>
          <w:iCs/>
          <w:color w:val="1F3864" w:themeColor="accent1" w:themeShade="80"/>
        </w:rPr>
      </w:pPr>
    </w:p>
    <w:p w14:paraId="3282B59C" w14:textId="77777777" w:rsidR="00045376" w:rsidRPr="00290165" w:rsidRDefault="00045376" w:rsidP="00545A65">
      <w:pPr>
        <w:pStyle w:val="Heading4"/>
        <w:spacing w:before="0"/>
        <w:jc w:val="both"/>
        <w:rPr>
          <w:rFonts w:asciiTheme="minorHAnsi" w:hAnsiTheme="minorHAnsi" w:cs="Tahoma"/>
        </w:rPr>
      </w:pPr>
      <w:r w:rsidRPr="00290165">
        <w:rPr>
          <w:rFonts w:asciiTheme="minorHAnsi" w:hAnsiTheme="minorHAnsi" w:cs="Tahoma"/>
        </w:rPr>
        <w:t>Full Refunds</w:t>
      </w:r>
    </w:p>
    <w:p w14:paraId="5B7DF9A3" w14:textId="1040BE45" w:rsidR="00045376" w:rsidRPr="00290165" w:rsidRDefault="00532F4F" w:rsidP="00045376">
      <w:pPr>
        <w:spacing w:before="120" w:after="120"/>
        <w:ind w:right="160"/>
        <w:jc w:val="both"/>
        <w:rPr>
          <w:rFonts w:cstheme="minorHAnsi"/>
        </w:rPr>
      </w:pPr>
      <w:r>
        <w:rPr>
          <w:rFonts w:cstheme="minorHAnsi"/>
        </w:rPr>
        <w:t>GET Education Australia</w:t>
      </w:r>
      <w:r w:rsidR="00045376" w:rsidRPr="00290165">
        <w:rPr>
          <w:rFonts w:cstheme="minorHAnsi"/>
        </w:rPr>
        <w:t xml:space="preserve"> will make a refund of course fees paid in the following circumstances:</w:t>
      </w:r>
    </w:p>
    <w:p w14:paraId="0ADEC580" w14:textId="77777777" w:rsidR="00045376" w:rsidRPr="00290165" w:rsidRDefault="00045376" w:rsidP="00045376">
      <w:pPr>
        <w:pStyle w:val="Heading4"/>
        <w:numPr>
          <w:ilvl w:val="0"/>
          <w:numId w:val="21"/>
        </w:numPr>
        <w:spacing w:after="120"/>
        <w:ind w:left="360"/>
        <w:jc w:val="both"/>
        <w:rPr>
          <w:rFonts w:asciiTheme="minorHAnsi" w:hAnsiTheme="minorHAnsi"/>
        </w:rPr>
      </w:pPr>
      <w:r w:rsidRPr="00290165">
        <w:rPr>
          <w:rFonts w:asciiTheme="minorHAnsi" w:hAnsiTheme="minorHAnsi"/>
        </w:rPr>
        <w:t>Visa refused before commencement date</w:t>
      </w:r>
    </w:p>
    <w:p w14:paraId="1F4B6677" w14:textId="77777777" w:rsidR="00045376" w:rsidRPr="00290165" w:rsidRDefault="00045376" w:rsidP="00045376">
      <w:pPr>
        <w:spacing w:before="120" w:after="120"/>
        <w:ind w:right="160"/>
        <w:jc w:val="both"/>
        <w:rPr>
          <w:rFonts w:cstheme="minorHAnsi"/>
        </w:rPr>
      </w:pPr>
      <w:proofErr w:type="gramStart"/>
      <w:r w:rsidRPr="00290165">
        <w:rPr>
          <w:rFonts w:cstheme="minorHAnsi"/>
        </w:rPr>
        <w:t>In the event that</w:t>
      </w:r>
      <w:proofErr w:type="gramEnd"/>
      <w:r w:rsidRPr="00290165">
        <w:rPr>
          <w:rFonts w:cstheme="minorHAnsi"/>
        </w:rPr>
        <w:t xml:space="preserve"> a student’s initial visa (prior to landing in Australia) is not granted, a full refund of fees received by the Institute will be issued to the student less the Application fee and the Administration Fee. Administration fee is calculated as 5% of the amount paid or $500 whichever is the lesser.</w:t>
      </w:r>
    </w:p>
    <w:p w14:paraId="2AA6A817" w14:textId="77777777" w:rsidR="00045376" w:rsidRPr="00290165" w:rsidRDefault="00045376" w:rsidP="00045376">
      <w:pPr>
        <w:spacing w:after="0"/>
        <w:jc w:val="both"/>
        <w:rPr>
          <w:rFonts w:cs="Tahoma"/>
          <w:b/>
          <w:i/>
        </w:rPr>
      </w:pPr>
      <w:r w:rsidRPr="00290165">
        <w:rPr>
          <w:rFonts w:cs="Tahoma"/>
          <w:b/>
          <w:i/>
        </w:rPr>
        <w:t>Please note:  Without proof of refusal from the Department of Home Affairs, NO refund will be granted.</w:t>
      </w:r>
    </w:p>
    <w:p w14:paraId="568B516C" w14:textId="307BE622" w:rsidR="00045376" w:rsidRPr="00290165" w:rsidRDefault="00532F4F" w:rsidP="00045376">
      <w:pPr>
        <w:pStyle w:val="Heading4"/>
        <w:numPr>
          <w:ilvl w:val="0"/>
          <w:numId w:val="21"/>
        </w:numPr>
        <w:spacing w:after="120"/>
        <w:ind w:left="360"/>
        <w:jc w:val="both"/>
        <w:rPr>
          <w:rFonts w:asciiTheme="minorHAnsi" w:hAnsiTheme="minorHAnsi"/>
        </w:rPr>
      </w:pPr>
      <w:r>
        <w:rPr>
          <w:rFonts w:asciiTheme="minorHAnsi" w:hAnsiTheme="minorHAnsi"/>
        </w:rPr>
        <w:t>GET Education Australia</w:t>
      </w:r>
      <w:r w:rsidR="00045376" w:rsidRPr="00290165">
        <w:rPr>
          <w:rFonts w:asciiTheme="minorHAnsi" w:hAnsiTheme="minorHAnsi"/>
        </w:rPr>
        <w:t xml:space="preserve"> does not commence or ceases delivery of a course</w:t>
      </w:r>
    </w:p>
    <w:p w14:paraId="39BF789F" w14:textId="3CB1FF75" w:rsidR="00045376" w:rsidRPr="00290165" w:rsidRDefault="00532F4F" w:rsidP="00045376">
      <w:pPr>
        <w:spacing w:before="120" w:after="120"/>
        <w:ind w:right="160"/>
        <w:jc w:val="both"/>
        <w:rPr>
          <w:rFonts w:cstheme="minorHAnsi"/>
        </w:rPr>
      </w:pPr>
      <w:r>
        <w:rPr>
          <w:rFonts w:cstheme="minorHAnsi"/>
        </w:rPr>
        <w:t>GET Education Australia</w:t>
      </w:r>
      <w:r w:rsidR="00045376" w:rsidRPr="00290165">
        <w:rPr>
          <w:rFonts w:cstheme="minorHAnsi"/>
        </w:rPr>
        <w:t xml:space="preserve"> reserves the right to cancel or postpone any courses prior to their scheduled commencement dates, should it be necessary. </w:t>
      </w:r>
    </w:p>
    <w:p w14:paraId="0183442E" w14:textId="4B23C216" w:rsidR="00045376" w:rsidRPr="00290165" w:rsidRDefault="00045376" w:rsidP="00045376">
      <w:pPr>
        <w:spacing w:before="120" w:after="120"/>
        <w:ind w:right="160"/>
        <w:jc w:val="both"/>
        <w:rPr>
          <w:rFonts w:cstheme="minorHAnsi"/>
        </w:rPr>
      </w:pPr>
      <w:r w:rsidRPr="00290165">
        <w:rPr>
          <w:rFonts w:cstheme="minorHAnsi"/>
        </w:rPr>
        <w:lastRenderedPageBreak/>
        <w:t xml:space="preserve">If </w:t>
      </w:r>
      <w:r w:rsidR="00532F4F">
        <w:rPr>
          <w:rFonts w:cstheme="minorHAnsi"/>
        </w:rPr>
        <w:t>GET Education Australia</w:t>
      </w:r>
      <w:r w:rsidRPr="00290165">
        <w:rPr>
          <w:rFonts w:cstheme="minorHAnsi"/>
        </w:rPr>
        <w:t xml:space="preserve"> does not commence a course on the due date a full refund of tuition fees paid will be made within 10 working days of the specified starting date in accordance with the refund provisions of the ESOS Act. Fees may be transferred to an alternative enrolment where the student agrees. </w:t>
      </w:r>
    </w:p>
    <w:p w14:paraId="23DB5914" w14:textId="7A343045" w:rsidR="00045376" w:rsidRPr="00290165" w:rsidRDefault="00045376" w:rsidP="00045376">
      <w:pPr>
        <w:spacing w:before="120" w:after="120"/>
        <w:ind w:right="160"/>
        <w:jc w:val="both"/>
        <w:rPr>
          <w:rFonts w:cstheme="minorHAnsi"/>
        </w:rPr>
      </w:pPr>
      <w:r w:rsidRPr="00290165">
        <w:rPr>
          <w:rFonts w:cstheme="minorHAnsi"/>
        </w:rPr>
        <w:t xml:space="preserve">Where </w:t>
      </w:r>
      <w:r w:rsidR="00532F4F">
        <w:rPr>
          <w:rFonts w:cstheme="minorHAnsi"/>
        </w:rPr>
        <w:t>GET Education Australia</w:t>
      </w:r>
      <w:r w:rsidRPr="00290165">
        <w:rPr>
          <w:rFonts w:cstheme="minorHAnsi"/>
        </w:rPr>
        <w:t xml:space="preserve"> is unable to complete the course due to unforeseen circumstances, any ‘unused tuition’ fees are to be refunded to the student. </w:t>
      </w:r>
    </w:p>
    <w:p w14:paraId="30F508DE" w14:textId="2FFDA5AC" w:rsidR="00045376" w:rsidRPr="00290165" w:rsidRDefault="00045376" w:rsidP="00045376">
      <w:pPr>
        <w:spacing w:before="120" w:after="120"/>
        <w:ind w:right="160"/>
        <w:jc w:val="both"/>
        <w:rPr>
          <w:rFonts w:cstheme="minorHAnsi"/>
        </w:rPr>
      </w:pPr>
      <w:r w:rsidRPr="00290165">
        <w:rPr>
          <w:rFonts w:cstheme="minorHAnsi"/>
        </w:rPr>
        <w:t xml:space="preserve">Where there is an instance of provider default in the above circumstances, </w:t>
      </w:r>
      <w:r w:rsidR="00532F4F">
        <w:rPr>
          <w:rFonts w:cstheme="minorHAnsi"/>
        </w:rPr>
        <w:t>GET Education Australia</w:t>
      </w:r>
      <w:r w:rsidRPr="00290165">
        <w:rPr>
          <w:rFonts w:cstheme="minorHAnsi"/>
        </w:rPr>
        <w:t xml:space="preserve"> may arrange for another course, or part of a course, to be provided to students at no (extra) cost to the student as an alternative to refunding course money. Where the student agrees to this arrangement, </w:t>
      </w:r>
      <w:r w:rsidR="00532F4F">
        <w:rPr>
          <w:rFonts w:cstheme="minorHAnsi"/>
        </w:rPr>
        <w:t>GET Education Australia</w:t>
      </w:r>
      <w:r w:rsidRPr="00290165">
        <w:rPr>
          <w:rFonts w:cstheme="minorHAnsi"/>
        </w:rPr>
        <w:t xml:space="preserve"> will not be liable to refund the money owed for the original enrolment.</w:t>
      </w:r>
    </w:p>
    <w:p w14:paraId="4361FF42" w14:textId="77777777" w:rsidR="00045376" w:rsidRPr="00290165" w:rsidRDefault="00045376" w:rsidP="00045376">
      <w:pPr>
        <w:spacing w:before="120" w:after="120"/>
        <w:ind w:right="160"/>
        <w:jc w:val="both"/>
        <w:rPr>
          <w:rFonts w:cs="Tahoma"/>
          <w:b/>
        </w:rPr>
      </w:pPr>
      <w:r w:rsidRPr="00290165">
        <w:rPr>
          <w:rFonts w:cs="Tahoma"/>
          <w:b/>
        </w:rPr>
        <w:t>Tuition Protection Service</w:t>
      </w:r>
    </w:p>
    <w:p w14:paraId="218A5790" w14:textId="77777777" w:rsidR="00045376" w:rsidRPr="00290165" w:rsidRDefault="00045376" w:rsidP="00045376">
      <w:pPr>
        <w:spacing w:before="120" w:after="120"/>
        <w:ind w:right="160"/>
        <w:jc w:val="both"/>
        <w:rPr>
          <w:rFonts w:cs="Tahoma"/>
        </w:rPr>
      </w:pPr>
      <w:r w:rsidRPr="00290165">
        <w:rPr>
          <w:rFonts w:cstheme="minorHAnsi"/>
        </w:rPr>
        <w:t>In such case of provider default, student tuition fee is protected under TPS (Tuition Protection Service). The Tuition Protection Service is an initiative of the Australian Government to assist international students whose education providers are unable to fully deliver their course of study. For more information on TPS for international student, please visit:</w:t>
      </w:r>
      <w:r w:rsidRPr="00290165">
        <w:rPr>
          <w:rFonts w:cs="Tahoma"/>
        </w:rPr>
        <w:t xml:space="preserve"> </w:t>
      </w:r>
      <w:hyperlink r:id="rId9" w:history="1">
        <w:r w:rsidRPr="00290165">
          <w:rPr>
            <w:rStyle w:val="Hyperlink"/>
            <w:rFonts w:cs="Tahoma"/>
          </w:rPr>
          <w:t>https://tps.gov.au/</w:t>
        </w:r>
      </w:hyperlink>
    </w:p>
    <w:p w14:paraId="534E0388" w14:textId="77777777" w:rsidR="00045376" w:rsidRPr="00290165" w:rsidRDefault="00045376" w:rsidP="00045376">
      <w:pPr>
        <w:pStyle w:val="Heading4"/>
        <w:spacing w:before="120"/>
        <w:jc w:val="both"/>
        <w:rPr>
          <w:rFonts w:asciiTheme="minorHAnsi" w:hAnsiTheme="minorHAnsi" w:cs="Tahoma"/>
        </w:rPr>
      </w:pPr>
      <w:r w:rsidRPr="00290165">
        <w:rPr>
          <w:rFonts w:asciiTheme="minorHAnsi" w:hAnsiTheme="minorHAnsi" w:cs="Tahoma"/>
        </w:rPr>
        <w:t>Partial Refund</w:t>
      </w:r>
    </w:p>
    <w:p w14:paraId="72EA5889" w14:textId="77777777" w:rsidR="00045376" w:rsidRPr="00290165" w:rsidRDefault="00045376" w:rsidP="00045376">
      <w:pPr>
        <w:pStyle w:val="Heading4"/>
        <w:numPr>
          <w:ilvl w:val="0"/>
          <w:numId w:val="22"/>
        </w:numPr>
        <w:spacing w:after="120"/>
        <w:ind w:left="360"/>
        <w:jc w:val="both"/>
        <w:rPr>
          <w:rFonts w:asciiTheme="minorHAnsi" w:hAnsiTheme="minorHAnsi"/>
        </w:rPr>
      </w:pPr>
      <w:r w:rsidRPr="00290165">
        <w:rPr>
          <w:rFonts w:asciiTheme="minorHAnsi" w:hAnsiTheme="minorHAnsi"/>
        </w:rPr>
        <w:t>Student withdraws more than 60 days before course commencement date or within cooling off period</w:t>
      </w:r>
    </w:p>
    <w:p w14:paraId="235381B3" w14:textId="77777777" w:rsidR="00045376" w:rsidRPr="00290165" w:rsidRDefault="00045376" w:rsidP="00045376">
      <w:pPr>
        <w:ind w:right="160"/>
        <w:jc w:val="both"/>
        <w:rPr>
          <w:rFonts w:cstheme="minorHAnsi"/>
        </w:rPr>
      </w:pPr>
      <w:r w:rsidRPr="00290165">
        <w:rPr>
          <w:rFonts w:cstheme="minorHAnsi"/>
        </w:rPr>
        <w:t xml:space="preserve">If written notice of withdrawal is received more than 60 days prior to the initial course commencement, </w:t>
      </w:r>
      <w:r>
        <w:rPr>
          <w:rFonts w:cstheme="minorHAnsi"/>
        </w:rPr>
        <w:t>75% of the initial pre-paid tuition fee is</w:t>
      </w:r>
      <w:r w:rsidRPr="00290165">
        <w:rPr>
          <w:rFonts w:cstheme="minorHAnsi"/>
        </w:rPr>
        <w:t xml:space="preserve"> refundable, </w:t>
      </w:r>
      <w:r w:rsidRPr="00290165">
        <w:rPr>
          <w:rFonts w:cstheme="minorHAnsi"/>
          <w:u w:val="single"/>
        </w:rPr>
        <w:t>less the Application fee and the Administration Fee</w:t>
      </w:r>
      <w:r w:rsidRPr="00290165">
        <w:rPr>
          <w:rFonts w:cstheme="minorHAnsi"/>
        </w:rPr>
        <w:t>. Administration fee is calculated as 5% of the amount paid or $500 whichever is the lesser. Note the CEO may waiver the Administration fee for withdrawals within the 3-day cooling off period.</w:t>
      </w:r>
    </w:p>
    <w:p w14:paraId="55A3624E" w14:textId="77777777" w:rsidR="00045376" w:rsidRPr="00290165" w:rsidRDefault="00045376" w:rsidP="00045376">
      <w:pPr>
        <w:pStyle w:val="Heading4"/>
        <w:numPr>
          <w:ilvl w:val="0"/>
          <w:numId w:val="22"/>
        </w:numPr>
        <w:spacing w:after="120"/>
        <w:ind w:left="360"/>
        <w:jc w:val="both"/>
        <w:rPr>
          <w:rFonts w:asciiTheme="minorHAnsi" w:hAnsiTheme="minorHAnsi"/>
        </w:rPr>
      </w:pPr>
      <w:r w:rsidRPr="00290165">
        <w:rPr>
          <w:rFonts w:asciiTheme="minorHAnsi" w:hAnsiTheme="minorHAnsi"/>
        </w:rPr>
        <w:t>Student withdraws less than 60 days but more than 28 days before course commencement date</w:t>
      </w:r>
    </w:p>
    <w:p w14:paraId="77FF1F9A" w14:textId="77777777" w:rsidR="00045376" w:rsidRPr="00290165" w:rsidRDefault="00045376" w:rsidP="00045376">
      <w:pPr>
        <w:spacing w:before="120" w:after="120"/>
        <w:ind w:right="160"/>
        <w:jc w:val="both"/>
        <w:rPr>
          <w:rFonts w:cstheme="minorHAnsi"/>
        </w:rPr>
      </w:pPr>
      <w:r w:rsidRPr="00290165">
        <w:rPr>
          <w:rFonts w:cstheme="minorHAnsi"/>
        </w:rPr>
        <w:t xml:space="preserve">If written notice of withdrawal is received less than 60 days but more than 28 days prior to the initial course commencement, </w:t>
      </w:r>
      <w:r w:rsidRPr="00290165">
        <w:rPr>
          <w:rFonts w:cstheme="minorHAnsi"/>
          <w:u w:val="single"/>
        </w:rPr>
        <w:t>only course material fee</w:t>
      </w:r>
      <w:r w:rsidRPr="00290165">
        <w:rPr>
          <w:rFonts w:cstheme="minorHAnsi"/>
        </w:rPr>
        <w:t xml:space="preserve"> is refundable.</w:t>
      </w:r>
    </w:p>
    <w:p w14:paraId="116C4BE9" w14:textId="77777777" w:rsidR="00045376" w:rsidRPr="00290165" w:rsidRDefault="00045376" w:rsidP="00045376">
      <w:pPr>
        <w:pStyle w:val="Heading4"/>
        <w:spacing w:before="120"/>
        <w:jc w:val="both"/>
        <w:rPr>
          <w:rFonts w:asciiTheme="minorHAnsi" w:hAnsiTheme="minorHAnsi" w:cs="Tahoma"/>
        </w:rPr>
      </w:pPr>
      <w:r w:rsidRPr="00290165">
        <w:rPr>
          <w:rFonts w:asciiTheme="minorHAnsi" w:hAnsiTheme="minorHAnsi" w:cs="Tahoma"/>
        </w:rPr>
        <w:t>No Fee Refund</w:t>
      </w:r>
    </w:p>
    <w:p w14:paraId="02A8F1F4" w14:textId="77777777" w:rsidR="00045376" w:rsidRPr="00290165" w:rsidRDefault="00045376" w:rsidP="00045376">
      <w:pPr>
        <w:pStyle w:val="Heading4"/>
        <w:numPr>
          <w:ilvl w:val="0"/>
          <w:numId w:val="22"/>
        </w:numPr>
        <w:spacing w:after="120"/>
        <w:ind w:left="360"/>
        <w:jc w:val="both"/>
        <w:rPr>
          <w:rFonts w:asciiTheme="minorHAnsi" w:hAnsiTheme="minorHAnsi"/>
        </w:rPr>
      </w:pPr>
      <w:r w:rsidRPr="00290165">
        <w:rPr>
          <w:rFonts w:asciiTheme="minorHAnsi" w:hAnsiTheme="minorHAnsi"/>
        </w:rPr>
        <w:t>Student withdraws less 28 days before course commencement date</w:t>
      </w:r>
    </w:p>
    <w:p w14:paraId="2656DBFC" w14:textId="77777777" w:rsidR="00045376" w:rsidRPr="00290165" w:rsidRDefault="00045376" w:rsidP="00045376">
      <w:pPr>
        <w:spacing w:before="120" w:after="120"/>
        <w:ind w:right="160"/>
        <w:jc w:val="both"/>
        <w:rPr>
          <w:rFonts w:cstheme="minorHAnsi"/>
        </w:rPr>
      </w:pPr>
      <w:r w:rsidRPr="00290165">
        <w:rPr>
          <w:rFonts w:cstheme="minorHAnsi"/>
        </w:rPr>
        <w:t xml:space="preserve">If written notice of withdrawal is received less than 28 days prior to the initial course commencement, there would be </w:t>
      </w:r>
      <w:r w:rsidRPr="00290165">
        <w:rPr>
          <w:rFonts w:cstheme="minorHAnsi"/>
          <w:u w:val="single"/>
        </w:rPr>
        <w:t>No refund</w:t>
      </w:r>
      <w:r w:rsidRPr="00290165">
        <w:rPr>
          <w:rFonts w:cstheme="minorHAnsi"/>
        </w:rPr>
        <w:t>.</w:t>
      </w:r>
    </w:p>
    <w:p w14:paraId="6D420AD1" w14:textId="40B644DE" w:rsidR="00045376" w:rsidRPr="00290165" w:rsidRDefault="00532F4F" w:rsidP="00045376">
      <w:pPr>
        <w:spacing w:before="120" w:after="120"/>
        <w:ind w:right="160"/>
        <w:jc w:val="both"/>
        <w:rPr>
          <w:rFonts w:cstheme="minorHAnsi"/>
        </w:rPr>
      </w:pPr>
      <w:r>
        <w:rPr>
          <w:rFonts w:cstheme="minorHAnsi"/>
        </w:rPr>
        <w:t>GET Education Australia</w:t>
      </w:r>
      <w:r w:rsidR="00045376" w:rsidRPr="00290165">
        <w:rPr>
          <w:rFonts w:cstheme="minorHAnsi"/>
        </w:rPr>
        <w:t xml:space="preserve"> will not refund any RPL application fees should the student be deemed as unsuccessful in RPL. Note that the student may lodge an appeal on RPL decision at little or no cost – refer to the complaints and appeal policy.</w:t>
      </w:r>
    </w:p>
    <w:p w14:paraId="19A5F495" w14:textId="77777777" w:rsidR="00045376" w:rsidRPr="00290165" w:rsidRDefault="00045376" w:rsidP="00045376">
      <w:pPr>
        <w:spacing w:before="120" w:after="120"/>
        <w:ind w:right="160"/>
        <w:jc w:val="both"/>
        <w:rPr>
          <w:rFonts w:cstheme="minorHAnsi"/>
        </w:rPr>
      </w:pPr>
      <w:r w:rsidRPr="00290165">
        <w:rPr>
          <w:rFonts w:cstheme="minorHAnsi"/>
        </w:rPr>
        <w:t xml:space="preserve">Non-tuition-based fees such as materials and/or equipment provided after course commencement will not be refunded under any circumstances. </w:t>
      </w:r>
    </w:p>
    <w:p w14:paraId="0EA4A6F6" w14:textId="77777777" w:rsidR="00045376" w:rsidRPr="00290165" w:rsidRDefault="00045376" w:rsidP="00045376">
      <w:pPr>
        <w:spacing w:before="120" w:after="120"/>
        <w:ind w:right="160"/>
        <w:jc w:val="both"/>
        <w:rPr>
          <w:rFonts w:cstheme="minorHAnsi"/>
        </w:rPr>
      </w:pPr>
      <w:proofErr w:type="gramStart"/>
      <w:r w:rsidRPr="00290165">
        <w:rPr>
          <w:rFonts w:cstheme="minorHAnsi"/>
        </w:rPr>
        <w:t>In the event that</w:t>
      </w:r>
      <w:proofErr w:type="gramEnd"/>
      <w:r w:rsidRPr="00290165">
        <w:rPr>
          <w:rFonts w:cstheme="minorHAnsi"/>
        </w:rPr>
        <w:t xml:space="preserve"> a student cancels their enrolment and requests a refund after the course commencement date, there will only be refund on unused tuition fee for future study period/s. Overseas Students withdrawing from a course of study, will be reported to the Department of Home Affairs.  </w:t>
      </w:r>
    </w:p>
    <w:p w14:paraId="5DA5F2FF" w14:textId="77777777" w:rsidR="00045376" w:rsidRPr="00290165" w:rsidRDefault="00045376" w:rsidP="00045376">
      <w:pPr>
        <w:spacing w:before="120" w:after="120"/>
        <w:ind w:right="160"/>
        <w:jc w:val="both"/>
        <w:rPr>
          <w:rFonts w:cstheme="minorHAnsi"/>
        </w:rPr>
      </w:pPr>
      <w:r w:rsidRPr="00290165">
        <w:rPr>
          <w:rFonts w:cstheme="minorHAnsi"/>
        </w:rPr>
        <w:lastRenderedPageBreak/>
        <w:t xml:space="preserve">A Student who withdraws from their studies after the commencement of their course is required to pay the balance of their tuition fee for the current study period before the date of cancellation of their COE. </w:t>
      </w:r>
    </w:p>
    <w:p w14:paraId="4268135A" w14:textId="6D0309D5" w:rsidR="00045376" w:rsidRPr="00290165" w:rsidRDefault="00045376" w:rsidP="00045376">
      <w:pPr>
        <w:spacing w:before="120" w:after="120"/>
        <w:ind w:right="160"/>
        <w:jc w:val="both"/>
        <w:rPr>
          <w:rFonts w:cstheme="minorHAnsi"/>
        </w:rPr>
      </w:pPr>
      <w:proofErr w:type="gramStart"/>
      <w:r w:rsidRPr="00290165">
        <w:rPr>
          <w:rFonts w:cstheme="minorHAnsi"/>
        </w:rPr>
        <w:t>In the event that</w:t>
      </w:r>
      <w:proofErr w:type="gramEnd"/>
      <w:r w:rsidRPr="00290165">
        <w:rPr>
          <w:rFonts w:cstheme="minorHAnsi"/>
        </w:rPr>
        <w:t xml:space="preserve"> the student seeks and is granted approval by </w:t>
      </w:r>
      <w:r w:rsidR="00532F4F">
        <w:rPr>
          <w:rFonts w:cstheme="minorHAnsi"/>
        </w:rPr>
        <w:t>GET Education Australia</w:t>
      </w:r>
      <w:r w:rsidRPr="00290165">
        <w:rPr>
          <w:rFonts w:cstheme="minorHAnsi"/>
        </w:rPr>
        <w:t xml:space="preserve"> to transfer to another provider prior to completion of six-month study of the principal course, there will only be refund on unused tuition fee for future study period/s.</w:t>
      </w:r>
    </w:p>
    <w:p w14:paraId="2DBB410F" w14:textId="1688B94C" w:rsidR="00045376" w:rsidRPr="00290165" w:rsidRDefault="00045376" w:rsidP="00045376">
      <w:pPr>
        <w:spacing w:before="120" w:after="120"/>
        <w:ind w:right="160"/>
        <w:jc w:val="both"/>
        <w:rPr>
          <w:rFonts w:cstheme="minorHAnsi"/>
        </w:rPr>
      </w:pPr>
      <w:proofErr w:type="gramStart"/>
      <w:r w:rsidRPr="00290165">
        <w:rPr>
          <w:rFonts w:cstheme="minorHAnsi"/>
        </w:rPr>
        <w:t>In the event that</w:t>
      </w:r>
      <w:proofErr w:type="gramEnd"/>
      <w:r w:rsidRPr="00290165">
        <w:rPr>
          <w:rFonts w:cstheme="minorHAnsi"/>
        </w:rPr>
        <w:t xml:space="preserve"> the student’s enrolment is cancelled because of misconduct of student with </w:t>
      </w:r>
      <w:r w:rsidR="00532F4F">
        <w:rPr>
          <w:rFonts w:cstheme="minorHAnsi"/>
        </w:rPr>
        <w:t>GET Education Australia</w:t>
      </w:r>
      <w:r w:rsidRPr="00290165">
        <w:rPr>
          <w:rFonts w:cstheme="minorHAnsi"/>
        </w:rPr>
        <w:t xml:space="preserve">’ Student Code of Conduct Policy or breach of student visa conditions there is no refund of any monies paid to </w:t>
      </w:r>
      <w:r w:rsidR="00532F4F">
        <w:rPr>
          <w:rFonts w:cstheme="minorHAnsi"/>
        </w:rPr>
        <w:t>GET Education Australia</w:t>
      </w:r>
      <w:r w:rsidRPr="00290165">
        <w:rPr>
          <w:rFonts w:cstheme="minorHAnsi"/>
        </w:rPr>
        <w:t>.</w:t>
      </w:r>
    </w:p>
    <w:p w14:paraId="03BB9C5E" w14:textId="77777777" w:rsidR="00045376" w:rsidRPr="00290165" w:rsidRDefault="00045376" w:rsidP="00045376">
      <w:pPr>
        <w:spacing w:before="120" w:after="120"/>
        <w:ind w:right="160"/>
        <w:jc w:val="both"/>
        <w:rPr>
          <w:rFonts w:cstheme="minorHAnsi"/>
        </w:rPr>
      </w:pPr>
      <w:r w:rsidRPr="00290165">
        <w:rPr>
          <w:rFonts w:cstheme="minorHAnsi"/>
        </w:rPr>
        <w:t xml:space="preserve">In the event that a </w:t>
      </w:r>
      <w:proofErr w:type="gramStart"/>
      <w:r w:rsidRPr="00290165">
        <w:rPr>
          <w:rFonts w:cstheme="minorHAnsi"/>
        </w:rPr>
        <w:t>Student’s</w:t>
      </w:r>
      <w:proofErr w:type="gramEnd"/>
      <w:r w:rsidRPr="00290165">
        <w:rPr>
          <w:rFonts w:cstheme="minorHAnsi"/>
        </w:rPr>
        <w:t xml:space="preserve"> extension of Visa is not granted; there will only be refund on unused tuition fee for future study period/s. Students are advised not to enrol or re-enrol if they are uncertain if their visa will be extended.</w:t>
      </w:r>
    </w:p>
    <w:p w14:paraId="41D630CE" w14:textId="64B3217E" w:rsidR="00045376" w:rsidRPr="00290165" w:rsidRDefault="00045376" w:rsidP="00045376">
      <w:pPr>
        <w:spacing w:before="120" w:after="120"/>
        <w:ind w:right="160"/>
        <w:jc w:val="both"/>
        <w:rPr>
          <w:rFonts w:cstheme="minorHAnsi"/>
        </w:rPr>
      </w:pPr>
      <w:r w:rsidRPr="00290165">
        <w:rPr>
          <w:rFonts w:cstheme="minorHAnsi"/>
        </w:rPr>
        <w:t xml:space="preserve">In the event that a </w:t>
      </w:r>
      <w:proofErr w:type="gramStart"/>
      <w:r w:rsidRPr="00290165">
        <w:rPr>
          <w:rFonts w:cstheme="minorHAnsi"/>
        </w:rPr>
        <w:t>Student</w:t>
      </w:r>
      <w:proofErr w:type="gramEnd"/>
      <w:r w:rsidRPr="00290165">
        <w:rPr>
          <w:rFonts w:cstheme="minorHAnsi"/>
        </w:rPr>
        <w:t xml:space="preserve"> abandons their course without formally cancelling their enrolment, there will not be any refund. Student will be invoiced for the tuition fees before the date of cancellation of their COE.</w:t>
      </w:r>
      <w:r w:rsidR="00545A65">
        <w:rPr>
          <w:rFonts w:cstheme="minorHAnsi"/>
        </w:rPr>
        <w:t xml:space="preserve"> </w:t>
      </w:r>
      <w:r w:rsidRPr="00290165">
        <w:rPr>
          <w:rFonts w:cstheme="minorHAnsi"/>
        </w:rPr>
        <w:t xml:space="preserve">In an event where visa is cancelled due to any action of student, there is no refund. </w:t>
      </w:r>
    </w:p>
    <w:p w14:paraId="511B34E3" w14:textId="77777777" w:rsidR="00045376" w:rsidRPr="00290165" w:rsidRDefault="00045376" w:rsidP="00045376">
      <w:pPr>
        <w:pStyle w:val="Heading4"/>
        <w:jc w:val="both"/>
        <w:rPr>
          <w:rFonts w:asciiTheme="minorHAnsi" w:hAnsiTheme="minorHAnsi" w:cs="Tahoma"/>
        </w:rPr>
      </w:pPr>
      <w:r w:rsidRPr="00290165">
        <w:rPr>
          <w:rFonts w:asciiTheme="minorHAnsi" w:hAnsiTheme="minorHAnsi" w:cs="Tahoma"/>
        </w:rPr>
        <w:t>Extenuating Circumstances</w:t>
      </w:r>
    </w:p>
    <w:p w14:paraId="1BC8D171" w14:textId="77777777" w:rsidR="00045376" w:rsidRPr="00290165" w:rsidRDefault="00045376" w:rsidP="00045376">
      <w:pPr>
        <w:spacing w:before="120" w:after="120"/>
        <w:ind w:right="14" w:hanging="14"/>
        <w:jc w:val="both"/>
        <w:rPr>
          <w:rFonts w:cstheme="minorHAnsi"/>
        </w:rPr>
      </w:pPr>
      <w:r w:rsidRPr="00290165">
        <w:rPr>
          <w:rFonts w:cstheme="minorHAnsi"/>
        </w:rPr>
        <w:t xml:space="preserve">Students may have extenuating circumstances that prevent them from attending scheduled course dates that may include but are not limited to illness, family or personal matters, or other reasons that are out of the ordinary circumstances. </w:t>
      </w:r>
    </w:p>
    <w:p w14:paraId="0217A1E3" w14:textId="77777777" w:rsidR="00045376" w:rsidRPr="00290165" w:rsidRDefault="00045376" w:rsidP="00045376">
      <w:pPr>
        <w:spacing w:before="120" w:after="120"/>
        <w:ind w:right="14" w:hanging="14"/>
        <w:jc w:val="both"/>
        <w:rPr>
          <w:rFonts w:cstheme="minorHAnsi"/>
        </w:rPr>
      </w:pPr>
      <w:r w:rsidRPr="00290165">
        <w:rPr>
          <w:rFonts w:cstheme="minorHAnsi"/>
        </w:rPr>
        <w:t xml:space="preserve">Where evidence can be successfully provided to support the student’s circumstances, course fees may either be transferred to the next available course where applicable, or a refund of unused course fees will be issued. This decision of assessing the extenuating circumstances rests with the CEO and shall be assessed on a </w:t>
      </w:r>
      <w:proofErr w:type="gramStart"/>
      <w:r w:rsidRPr="00290165">
        <w:rPr>
          <w:rFonts w:cstheme="minorHAnsi"/>
        </w:rPr>
        <w:t>case by case</w:t>
      </w:r>
      <w:proofErr w:type="gramEnd"/>
      <w:r w:rsidRPr="00290165">
        <w:rPr>
          <w:rFonts w:cstheme="minorHAnsi"/>
        </w:rPr>
        <w:t xml:space="preserve"> situation. </w:t>
      </w:r>
    </w:p>
    <w:p w14:paraId="5FAA4007" w14:textId="77777777" w:rsidR="00045376" w:rsidRPr="00290165" w:rsidRDefault="00045376" w:rsidP="00045376">
      <w:pPr>
        <w:pStyle w:val="Heading4"/>
        <w:spacing w:before="120"/>
        <w:jc w:val="both"/>
        <w:rPr>
          <w:rFonts w:asciiTheme="minorHAnsi" w:hAnsiTheme="minorHAnsi"/>
        </w:rPr>
      </w:pPr>
      <w:r w:rsidRPr="00290165">
        <w:rPr>
          <w:rFonts w:asciiTheme="minorHAnsi" w:hAnsiTheme="minorHAnsi" w:cs="Tahoma"/>
        </w:rPr>
        <w:t>Refund Procedure</w:t>
      </w:r>
    </w:p>
    <w:p w14:paraId="21674016" w14:textId="77777777" w:rsidR="00045376" w:rsidRPr="00290165" w:rsidRDefault="00045376" w:rsidP="00045376">
      <w:pPr>
        <w:jc w:val="both"/>
        <w:rPr>
          <w:rFonts w:cstheme="minorHAnsi"/>
        </w:rPr>
      </w:pPr>
      <w:r w:rsidRPr="00290165">
        <w:rPr>
          <w:rFonts w:cstheme="minorHAnsi"/>
        </w:rPr>
        <w:t xml:space="preserve">All applications for refund must be made in writing using ‘Refund Application Form’ and must be submitted to RTO Manager for their approval. The refunds will be processed towards the nominated account within 20 working days from the date of application. The amount of refund will be calculated in accordance with the summary of refunds. </w:t>
      </w:r>
    </w:p>
    <w:p w14:paraId="111259EC" w14:textId="2FC112D0" w:rsidR="00045376" w:rsidRPr="00290165" w:rsidRDefault="00045376" w:rsidP="00045376">
      <w:pPr>
        <w:jc w:val="both"/>
        <w:rPr>
          <w:rFonts w:cstheme="minorHAnsi"/>
        </w:rPr>
      </w:pPr>
      <w:r w:rsidRPr="00290165">
        <w:rPr>
          <w:rFonts w:cstheme="minorHAnsi"/>
        </w:rPr>
        <w:t xml:space="preserve">It is student’s responsibility to provide correct account details. </w:t>
      </w:r>
      <w:r w:rsidR="00532F4F">
        <w:rPr>
          <w:rFonts w:cstheme="minorHAnsi"/>
        </w:rPr>
        <w:t>GET Education Australia</w:t>
      </w:r>
      <w:r w:rsidRPr="00290165">
        <w:rPr>
          <w:rFonts w:cstheme="minorHAnsi"/>
        </w:rPr>
        <w:t xml:space="preserve"> will not authorise the transfer of fees to any other student’s account. Refunds for students will be completed in the same method by which the fees were originally paid.</w:t>
      </w:r>
    </w:p>
    <w:p w14:paraId="0810629E" w14:textId="77777777" w:rsidR="00045376" w:rsidRPr="00290165" w:rsidRDefault="00045376" w:rsidP="00045376">
      <w:pPr>
        <w:pStyle w:val="Heading4"/>
        <w:spacing w:before="120"/>
        <w:jc w:val="both"/>
        <w:rPr>
          <w:rFonts w:asciiTheme="minorHAnsi" w:hAnsiTheme="minorHAnsi" w:cs="Tahoma"/>
        </w:rPr>
      </w:pPr>
      <w:r w:rsidRPr="00290165">
        <w:rPr>
          <w:rFonts w:asciiTheme="minorHAnsi" w:hAnsiTheme="minorHAnsi" w:cs="Tahoma"/>
        </w:rPr>
        <w:t>Payment of Refund</w:t>
      </w:r>
    </w:p>
    <w:p w14:paraId="77A3FD7E" w14:textId="77777777" w:rsidR="00045376" w:rsidRPr="00290165" w:rsidRDefault="00045376" w:rsidP="00045376">
      <w:pPr>
        <w:spacing w:before="120" w:after="120"/>
        <w:ind w:right="14" w:hanging="14"/>
        <w:jc w:val="both"/>
        <w:rPr>
          <w:rFonts w:cstheme="minorHAnsi"/>
        </w:rPr>
      </w:pPr>
      <w:r w:rsidRPr="00290165">
        <w:rPr>
          <w:rFonts w:cstheme="minorHAnsi"/>
        </w:rPr>
        <w:t>All refunds for which a student is eligible will be forwarded to the person who paid the fees in his or her home country, unless the student is transferring to another institution in Australia (subject to Visa conditions), in which case any refund may be remitted to that institution.</w:t>
      </w:r>
    </w:p>
    <w:p w14:paraId="6940D085" w14:textId="75AB82C6" w:rsidR="00045376" w:rsidRPr="00290165" w:rsidRDefault="00045376" w:rsidP="00045376">
      <w:pPr>
        <w:spacing w:before="120" w:after="120"/>
        <w:ind w:right="14" w:hanging="14"/>
        <w:jc w:val="both"/>
        <w:rPr>
          <w:rFonts w:cstheme="minorHAnsi"/>
        </w:rPr>
      </w:pPr>
      <w:r w:rsidRPr="00290165">
        <w:rPr>
          <w:rFonts w:cstheme="minorHAnsi"/>
        </w:rPr>
        <w:t xml:space="preserve">Written authorisation from that person, or entity, is required before refunds can be made payable to any other party. Students should submit this authorisation with their written request for refund. All Student refunds are made in Australian dollars or the foreign currency equivalent at the time and will be net of any handling fee charged by local representatives used by the </w:t>
      </w:r>
      <w:proofErr w:type="gramStart"/>
      <w:r w:rsidRPr="00290165">
        <w:rPr>
          <w:rFonts w:cstheme="minorHAnsi"/>
        </w:rPr>
        <w:t>Student</w:t>
      </w:r>
      <w:proofErr w:type="gramEnd"/>
      <w:r w:rsidRPr="00290165">
        <w:rPr>
          <w:rFonts w:cstheme="minorHAnsi"/>
        </w:rPr>
        <w:t xml:space="preserve">. Bank Charges on processing refund payments such as Telegraphic Transfer or draft fees to $40 will be deducted from any refund. </w:t>
      </w:r>
      <w:r w:rsidR="00532F4F">
        <w:rPr>
          <w:rFonts w:cstheme="minorHAnsi"/>
        </w:rPr>
        <w:t>GET Education Australia</w:t>
      </w:r>
      <w:r w:rsidRPr="00290165">
        <w:rPr>
          <w:rFonts w:cstheme="minorHAnsi"/>
        </w:rPr>
        <w:t xml:space="preserve"> will provide the student with a statement detailing the calculation of the refund.</w:t>
      </w:r>
    </w:p>
    <w:p w14:paraId="768C60FE" w14:textId="77777777" w:rsidR="00045376" w:rsidRPr="00290165" w:rsidRDefault="00045376" w:rsidP="00045376">
      <w:pPr>
        <w:pStyle w:val="Heading4"/>
        <w:jc w:val="both"/>
        <w:rPr>
          <w:rFonts w:asciiTheme="minorHAnsi" w:hAnsiTheme="minorHAnsi" w:cs="Tahoma"/>
        </w:rPr>
      </w:pPr>
      <w:r w:rsidRPr="00290165">
        <w:rPr>
          <w:rFonts w:asciiTheme="minorHAnsi" w:hAnsiTheme="minorHAnsi" w:cs="Tahoma"/>
        </w:rPr>
        <w:lastRenderedPageBreak/>
        <w:t xml:space="preserve">Appealing Refund decisions </w:t>
      </w:r>
    </w:p>
    <w:p w14:paraId="0271F8F2" w14:textId="4E67676A" w:rsidR="00045376" w:rsidRPr="00290165" w:rsidRDefault="00045376" w:rsidP="00045376">
      <w:pPr>
        <w:ind w:right="9"/>
        <w:jc w:val="both"/>
        <w:rPr>
          <w:rFonts w:cstheme="minorHAnsi"/>
        </w:rPr>
      </w:pPr>
      <w:r w:rsidRPr="00290165">
        <w:rPr>
          <w:rFonts w:cstheme="minorHAnsi"/>
        </w:rPr>
        <w:t xml:space="preserve">All students have the right to appeal a refund decision made by </w:t>
      </w:r>
      <w:r w:rsidR="00532F4F">
        <w:rPr>
          <w:rFonts w:cstheme="minorHAnsi"/>
        </w:rPr>
        <w:t>GET Education Australia</w:t>
      </w:r>
      <w:r w:rsidRPr="00290165">
        <w:rPr>
          <w:rFonts w:cstheme="minorHAnsi"/>
        </w:rPr>
        <w:t xml:space="preserve"> (Refer Complaints and Appeals Policy and procedure).</w:t>
      </w:r>
    </w:p>
    <w:p w14:paraId="69681B60" w14:textId="77777777" w:rsidR="00045376" w:rsidRPr="00290165" w:rsidRDefault="00045376" w:rsidP="00045376">
      <w:pPr>
        <w:pStyle w:val="Heading4"/>
        <w:spacing w:before="120"/>
        <w:jc w:val="both"/>
        <w:rPr>
          <w:rFonts w:asciiTheme="minorHAnsi" w:hAnsiTheme="minorHAnsi" w:cs="Tahoma"/>
        </w:rPr>
      </w:pPr>
      <w:r w:rsidRPr="00290165">
        <w:rPr>
          <w:rFonts w:asciiTheme="minorHAnsi" w:hAnsiTheme="minorHAnsi" w:cs="Tahoma"/>
        </w:rPr>
        <w:t>Summary of Refunds</w:t>
      </w:r>
    </w:p>
    <w:tbl>
      <w:tblPr>
        <w:tblStyle w:val="TableGrid0"/>
        <w:tblW w:w="5000" w:type="pct"/>
        <w:tblInd w:w="0" w:type="dxa"/>
        <w:tblCellMar>
          <w:top w:w="45" w:type="dxa"/>
          <w:left w:w="108" w:type="dxa"/>
          <w:right w:w="97" w:type="dxa"/>
        </w:tblCellMar>
        <w:tblLook w:val="04A0" w:firstRow="1" w:lastRow="0" w:firstColumn="1" w:lastColumn="0" w:noHBand="0" w:noVBand="1"/>
      </w:tblPr>
      <w:tblGrid>
        <w:gridCol w:w="5710"/>
        <w:gridCol w:w="3462"/>
      </w:tblGrid>
      <w:tr w:rsidR="00045376" w:rsidRPr="00290165" w14:paraId="4783BBE6" w14:textId="77777777" w:rsidTr="006E6DB6">
        <w:trPr>
          <w:trHeight w:val="240"/>
          <w:tblHeader/>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E7E6E6" w:themeFill="background2"/>
          </w:tcPr>
          <w:p w14:paraId="59EF2C4F" w14:textId="77777777" w:rsidR="00045376" w:rsidRPr="00290165" w:rsidRDefault="00045376" w:rsidP="006E6DB6">
            <w:pPr>
              <w:spacing w:after="160" w:line="259" w:lineRule="auto"/>
              <w:jc w:val="both"/>
              <w:rPr>
                <w:rFonts w:eastAsiaTheme="minorHAnsi" w:cstheme="minorHAnsi"/>
                <w:b/>
              </w:rPr>
            </w:pPr>
            <w:r w:rsidRPr="00290165">
              <w:rPr>
                <w:rFonts w:eastAsiaTheme="minorHAnsi" w:cstheme="minorHAnsi"/>
                <w:b/>
              </w:rPr>
              <w:t>Outline of Default Refund Arrangements (Application Fee is non-refundable under all circumstances)</w:t>
            </w:r>
          </w:p>
        </w:tc>
      </w:tr>
      <w:tr w:rsidR="00045376" w:rsidRPr="00290165" w14:paraId="6C65A3DC" w14:textId="77777777" w:rsidTr="006E6DB6">
        <w:trPr>
          <w:trHeight w:val="458"/>
        </w:trPr>
        <w:tc>
          <w:tcPr>
            <w:tcW w:w="3113" w:type="pct"/>
            <w:tcBorders>
              <w:top w:val="single" w:sz="8" w:space="0" w:color="000000"/>
              <w:left w:val="single" w:sz="8" w:space="0" w:color="000000"/>
              <w:bottom w:val="single" w:sz="8" w:space="0" w:color="000000"/>
              <w:right w:val="single" w:sz="8" w:space="0" w:color="000000"/>
            </w:tcBorders>
          </w:tcPr>
          <w:p w14:paraId="23CC414B" w14:textId="77777777" w:rsidR="00045376" w:rsidRPr="00290165" w:rsidRDefault="00045376" w:rsidP="006E6DB6">
            <w:pPr>
              <w:spacing w:line="259" w:lineRule="auto"/>
              <w:jc w:val="both"/>
              <w:rPr>
                <w:rFonts w:eastAsiaTheme="minorHAnsi" w:cstheme="minorHAnsi"/>
              </w:rPr>
            </w:pPr>
            <w:r w:rsidRPr="00290165">
              <w:rPr>
                <w:rFonts w:eastAsiaTheme="minorHAnsi" w:cstheme="minorHAnsi"/>
              </w:rPr>
              <w:t xml:space="preserve">Initial Visa refused prior to course commencement (with Department of Home Affairs Refusal Letter) </w:t>
            </w:r>
          </w:p>
        </w:tc>
        <w:tc>
          <w:tcPr>
            <w:tcW w:w="1887" w:type="pct"/>
            <w:tcBorders>
              <w:top w:val="single" w:sz="8" w:space="0" w:color="000000"/>
              <w:left w:val="single" w:sz="8" w:space="0" w:color="000000"/>
              <w:bottom w:val="single" w:sz="8" w:space="0" w:color="000000"/>
              <w:right w:val="single" w:sz="8" w:space="0" w:color="000000"/>
            </w:tcBorders>
          </w:tcPr>
          <w:p w14:paraId="6DF1B2CF" w14:textId="77777777" w:rsidR="00045376" w:rsidRPr="00290165" w:rsidRDefault="00045376" w:rsidP="006E6DB6">
            <w:pPr>
              <w:spacing w:line="259" w:lineRule="auto"/>
              <w:jc w:val="both"/>
              <w:rPr>
                <w:rFonts w:eastAsiaTheme="minorHAnsi" w:cstheme="minorHAnsi"/>
              </w:rPr>
            </w:pPr>
            <w:r w:rsidRPr="00290165">
              <w:rPr>
                <w:rFonts w:eastAsiaTheme="minorHAnsi" w:cstheme="minorHAnsi"/>
              </w:rPr>
              <w:t xml:space="preserve">Full refund less Administration Fee </w:t>
            </w:r>
          </w:p>
        </w:tc>
      </w:tr>
      <w:tr w:rsidR="00045376" w:rsidRPr="00290165" w14:paraId="3D782B26" w14:textId="77777777" w:rsidTr="006E6DB6">
        <w:trPr>
          <w:trHeight w:val="458"/>
        </w:trPr>
        <w:tc>
          <w:tcPr>
            <w:tcW w:w="3113" w:type="pct"/>
            <w:tcBorders>
              <w:top w:val="single" w:sz="8" w:space="0" w:color="000000"/>
              <w:left w:val="single" w:sz="8" w:space="0" w:color="000000"/>
              <w:bottom w:val="single" w:sz="8" w:space="0" w:color="000000"/>
              <w:right w:val="single" w:sz="8" w:space="0" w:color="000000"/>
            </w:tcBorders>
          </w:tcPr>
          <w:p w14:paraId="124C2816" w14:textId="765D0222" w:rsidR="00045376" w:rsidRPr="00290165" w:rsidRDefault="00532F4F" w:rsidP="006E6DB6">
            <w:pPr>
              <w:spacing w:line="259" w:lineRule="auto"/>
              <w:jc w:val="both"/>
              <w:rPr>
                <w:rFonts w:eastAsiaTheme="minorHAnsi" w:cstheme="minorHAnsi"/>
              </w:rPr>
            </w:pPr>
            <w:r>
              <w:rPr>
                <w:rFonts w:eastAsiaTheme="minorHAnsi" w:cstheme="minorHAnsi"/>
              </w:rPr>
              <w:t>GET Education Australia</w:t>
            </w:r>
            <w:r w:rsidR="00045376" w:rsidRPr="00290165">
              <w:rPr>
                <w:rFonts w:eastAsiaTheme="minorHAnsi" w:cstheme="minorHAnsi"/>
              </w:rPr>
              <w:t xml:space="preserve"> is unable to provide the course for which the original enrolment and payment has been made  </w:t>
            </w:r>
          </w:p>
        </w:tc>
        <w:tc>
          <w:tcPr>
            <w:tcW w:w="1887" w:type="pct"/>
            <w:tcBorders>
              <w:top w:val="single" w:sz="8" w:space="0" w:color="000000"/>
              <w:left w:val="single" w:sz="8" w:space="0" w:color="000000"/>
              <w:bottom w:val="single" w:sz="8" w:space="0" w:color="000000"/>
              <w:right w:val="single" w:sz="8" w:space="0" w:color="000000"/>
            </w:tcBorders>
            <w:vAlign w:val="center"/>
          </w:tcPr>
          <w:p w14:paraId="0EAA7C88" w14:textId="77777777" w:rsidR="00045376" w:rsidRPr="00290165" w:rsidRDefault="00045376" w:rsidP="006E6DB6">
            <w:pPr>
              <w:spacing w:line="259" w:lineRule="auto"/>
              <w:jc w:val="both"/>
              <w:rPr>
                <w:rFonts w:eastAsiaTheme="minorHAnsi" w:cstheme="minorHAnsi"/>
              </w:rPr>
            </w:pPr>
            <w:r w:rsidRPr="00290165">
              <w:rPr>
                <w:rFonts w:eastAsiaTheme="minorHAnsi" w:cstheme="minorHAnsi"/>
              </w:rPr>
              <w:t>Full refund of the initial pre-paid fees</w:t>
            </w:r>
          </w:p>
        </w:tc>
      </w:tr>
      <w:tr w:rsidR="00045376" w:rsidRPr="00290165" w14:paraId="6DF556C1" w14:textId="77777777" w:rsidTr="006E6DB6">
        <w:trPr>
          <w:trHeight w:val="894"/>
        </w:trPr>
        <w:tc>
          <w:tcPr>
            <w:tcW w:w="3113" w:type="pct"/>
            <w:tcBorders>
              <w:top w:val="single" w:sz="8" w:space="0" w:color="000000"/>
              <w:left w:val="single" w:sz="8" w:space="0" w:color="000000"/>
              <w:bottom w:val="single" w:sz="8" w:space="0" w:color="000000"/>
              <w:right w:val="single" w:sz="8" w:space="0" w:color="000000"/>
            </w:tcBorders>
            <w:vAlign w:val="center"/>
          </w:tcPr>
          <w:p w14:paraId="461C1E0E" w14:textId="77777777" w:rsidR="00045376" w:rsidRPr="00290165" w:rsidRDefault="00045376" w:rsidP="006E6DB6">
            <w:pPr>
              <w:contextualSpacing/>
              <w:jc w:val="both"/>
              <w:rPr>
                <w:rFonts w:eastAsiaTheme="minorHAnsi" w:cstheme="minorHAnsi"/>
              </w:rPr>
            </w:pPr>
            <w:r w:rsidRPr="00290165">
              <w:rPr>
                <w:rFonts w:eastAsiaTheme="minorHAnsi" w:cstheme="minorHAnsi"/>
              </w:rPr>
              <w:t xml:space="preserve">Withdrawal prior to agreed start date:     </w:t>
            </w:r>
          </w:p>
          <w:p w14:paraId="3FB9E357" w14:textId="77777777" w:rsidR="00045376" w:rsidRPr="00290165" w:rsidRDefault="00045376" w:rsidP="006E6DB6">
            <w:pPr>
              <w:spacing w:after="18" w:line="259" w:lineRule="auto"/>
              <w:jc w:val="both"/>
              <w:rPr>
                <w:rFonts w:eastAsiaTheme="minorHAnsi" w:cstheme="minorHAnsi"/>
              </w:rPr>
            </w:pPr>
            <w:r w:rsidRPr="00290165">
              <w:rPr>
                <w:rFonts w:eastAsiaTheme="minorHAnsi" w:cstheme="minorHAnsi"/>
              </w:rPr>
              <w:t xml:space="preserve">Notify the Institute </w:t>
            </w:r>
            <w:r w:rsidRPr="00290165">
              <w:rPr>
                <w:rFonts w:eastAsiaTheme="minorHAnsi" w:cstheme="minorHAnsi"/>
                <w:b/>
              </w:rPr>
              <w:t>more than 60 days</w:t>
            </w:r>
            <w:r w:rsidRPr="00290165">
              <w:rPr>
                <w:rFonts w:eastAsiaTheme="minorHAnsi" w:cstheme="minorHAnsi"/>
              </w:rPr>
              <w:t xml:space="preserve"> prior the course commencement date or within cooling off period</w:t>
            </w:r>
          </w:p>
        </w:tc>
        <w:tc>
          <w:tcPr>
            <w:tcW w:w="1887" w:type="pct"/>
            <w:tcBorders>
              <w:top w:val="single" w:sz="8" w:space="0" w:color="000000"/>
              <w:left w:val="single" w:sz="8" w:space="0" w:color="000000"/>
              <w:bottom w:val="single" w:sz="8" w:space="0" w:color="000000"/>
              <w:right w:val="single" w:sz="8" w:space="0" w:color="000000"/>
            </w:tcBorders>
          </w:tcPr>
          <w:p w14:paraId="59535BCB" w14:textId="77777777" w:rsidR="00045376" w:rsidRPr="00290165" w:rsidRDefault="00045376" w:rsidP="006E6DB6">
            <w:pPr>
              <w:spacing w:line="259" w:lineRule="auto"/>
              <w:jc w:val="both"/>
              <w:rPr>
                <w:rFonts w:eastAsiaTheme="minorHAnsi" w:cstheme="minorHAnsi"/>
              </w:rPr>
            </w:pPr>
            <w:r w:rsidRPr="00290165">
              <w:rPr>
                <w:rFonts w:eastAsiaTheme="minorHAnsi" w:cstheme="minorHAnsi"/>
              </w:rPr>
              <w:t xml:space="preserve">75% refund of the initial pre-paid fees less Administration Fee </w:t>
            </w:r>
          </w:p>
        </w:tc>
      </w:tr>
      <w:tr w:rsidR="00045376" w:rsidRPr="00290165" w14:paraId="36E8669F" w14:textId="77777777" w:rsidTr="006E6DB6">
        <w:trPr>
          <w:trHeight w:val="894"/>
        </w:trPr>
        <w:tc>
          <w:tcPr>
            <w:tcW w:w="3113" w:type="pct"/>
            <w:tcBorders>
              <w:top w:val="single" w:sz="8" w:space="0" w:color="000000"/>
              <w:left w:val="single" w:sz="8" w:space="0" w:color="000000"/>
              <w:bottom w:val="single" w:sz="8" w:space="0" w:color="000000"/>
              <w:right w:val="single" w:sz="8" w:space="0" w:color="000000"/>
            </w:tcBorders>
            <w:vAlign w:val="center"/>
          </w:tcPr>
          <w:p w14:paraId="780E2C69" w14:textId="77777777" w:rsidR="00045376" w:rsidRPr="00290165" w:rsidRDefault="00045376" w:rsidP="006E6DB6">
            <w:pPr>
              <w:contextualSpacing/>
              <w:jc w:val="both"/>
              <w:rPr>
                <w:rFonts w:eastAsiaTheme="minorHAnsi" w:cstheme="minorHAnsi"/>
              </w:rPr>
            </w:pPr>
            <w:r w:rsidRPr="00290165">
              <w:rPr>
                <w:rFonts w:eastAsiaTheme="minorHAnsi" w:cstheme="minorHAnsi"/>
              </w:rPr>
              <w:t xml:space="preserve">Withdrawal prior to agreed start date:     </w:t>
            </w:r>
          </w:p>
          <w:p w14:paraId="52CAB38D" w14:textId="77777777" w:rsidR="00045376" w:rsidRPr="00290165" w:rsidRDefault="00045376" w:rsidP="006E6DB6">
            <w:pPr>
              <w:spacing w:after="18" w:line="259" w:lineRule="auto"/>
              <w:jc w:val="both"/>
              <w:rPr>
                <w:rFonts w:eastAsiaTheme="minorHAnsi" w:cstheme="minorHAnsi"/>
              </w:rPr>
            </w:pPr>
            <w:r w:rsidRPr="00290165">
              <w:rPr>
                <w:rFonts w:eastAsiaTheme="minorHAnsi" w:cstheme="minorHAnsi"/>
              </w:rPr>
              <w:t xml:space="preserve">Notify the Institute </w:t>
            </w:r>
            <w:r w:rsidRPr="00290165">
              <w:rPr>
                <w:rFonts w:eastAsiaTheme="minorHAnsi" w:cstheme="minorHAnsi"/>
                <w:b/>
              </w:rPr>
              <w:t>less than 60 days and greater than 28 days</w:t>
            </w:r>
            <w:r w:rsidRPr="00290165">
              <w:rPr>
                <w:rFonts w:eastAsiaTheme="minorHAnsi" w:cstheme="minorHAnsi"/>
              </w:rPr>
              <w:t xml:space="preserve"> prior the course commencement date </w:t>
            </w:r>
          </w:p>
        </w:tc>
        <w:tc>
          <w:tcPr>
            <w:tcW w:w="1887" w:type="pct"/>
            <w:tcBorders>
              <w:top w:val="single" w:sz="8" w:space="0" w:color="000000"/>
              <w:left w:val="single" w:sz="8" w:space="0" w:color="000000"/>
              <w:bottom w:val="single" w:sz="8" w:space="0" w:color="000000"/>
              <w:right w:val="single" w:sz="8" w:space="0" w:color="000000"/>
            </w:tcBorders>
          </w:tcPr>
          <w:p w14:paraId="4557085B" w14:textId="77777777" w:rsidR="00045376" w:rsidRPr="00290165" w:rsidRDefault="00045376" w:rsidP="006E6DB6">
            <w:pPr>
              <w:spacing w:line="259" w:lineRule="auto"/>
              <w:jc w:val="both"/>
              <w:rPr>
                <w:rFonts w:eastAsiaTheme="minorHAnsi" w:cstheme="minorHAnsi"/>
              </w:rPr>
            </w:pPr>
            <w:r w:rsidRPr="00290165">
              <w:rPr>
                <w:rFonts w:eastAsiaTheme="minorHAnsi" w:cstheme="minorHAnsi"/>
              </w:rPr>
              <w:t>Only course material and/or equipment fee is refundable</w:t>
            </w:r>
          </w:p>
        </w:tc>
      </w:tr>
      <w:tr w:rsidR="00045376" w:rsidRPr="00290165" w14:paraId="2CDA91F6" w14:textId="77777777" w:rsidTr="006E6DB6">
        <w:trPr>
          <w:trHeight w:val="689"/>
        </w:trPr>
        <w:tc>
          <w:tcPr>
            <w:tcW w:w="3113" w:type="pct"/>
            <w:tcBorders>
              <w:top w:val="single" w:sz="8" w:space="0" w:color="000000"/>
              <w:left w:val="single" w:sz="8" w:space="0" w:color="000000"/>
              <w:bottom w:val="single" w:sz="8" w:space="0" w:color="000000"/>
              <w:right w:val="single" w:sz="8" w:space="0" w:color="000000"/>
            </w:tcBorders>
          </w:tcPr>
          <w:p w14:paraId="0CB5BA41" w14:textId="77777777" w:rsidR="00045376" w:rsidRPr="00290165" w:rsidRDefault="00045376" w:rsidP="006E6DB6">
            <w:pPr>
              <w:spacing w:after="18" w:line="259" w:lineRule="auto"/>
              <w:jc w:val="both"/>
              <w:rPr>
                <w:rFonts w:eastAsiaTheme="minorHAnsi" w:cstheme="minorHAnsi"/>
              </w:rPr>
            </w:pPr>
            <w:r w:rsidRPr="00290165">
              <w:rPr>
                <w:rFonts w:eastAsiaTheme="minorHAnsi" w:cstheme="minorHAnsi"/>
              </w:rPr>
              <w:t>Withdrawal prior to agreed start date:</w:t>
            </w:r>
          </w:p>
          <w:p w14:paraId="32B716F2" w14:textId="77777777" w:rsidR="00045376" w:rsidRPr="00290165" w:rsidRDefault="00045376" w:rsidP="006E6DB6">
            <w:pPr>
              <w:tabs>
                <w:tab w:val="left" w:pos="948"/>
              </w:tabs>
              <w:ind w:hanging="720"/>
              <w:jc w:val="both"/>
              <w:rPr>
                <w:rFonts w:eastAsiaTheme="minorHAnsi" w:cstheme="minorHAnsi"/>
              </w:rPr>
            </w:pPr>
            <w:r w:rsidRPr="00290165">
              <w:rPr>
                <w:rFonts w:eastAsiaTheme="minorHAnsi" w:cstheme="minorHAnsi"/>
              </w:rPr>
              <w:sym w:font="Wingdings 2" w:char="F052"/>
            </w:r>
            <w:r w:rsidRPr="00290165">
              <w:rPr>
                <w:rFonts w:eastAsiaTheme="minorHAnsi" w:cstheme="minorHAnsi"/>
              </w:rPr>
              <w:tab/>
              <w:t xml:space="preserve">Notify the Institute </w:t>
            </w:r>
            <w:r w:rsidRPr="00290165">
              <w:rPr>
                <w:rFonts w:eastAsiaTheme="minorHAnsi" w:cstheme="minorHAnsi"/>
                <w:b/>
              </w:rPr>
              <w:t>less than 28 days</w:t>
            </w:r>
            <w:r w:rsidRPr="00290165">
              <w:rPr>
                <w:rFonts w:eastAsiaTheme="minorHAnsi" w:cstheme="minorHAnsi"/>
              </w:rPr>
              <w:t xml:space="preserve"> prior the course commencement date </w:t>
            </w:r>
          </w:p>
        </w:tc>
        <w:tc>
          <w:tcPr>
            <w:tcW w:w="1887" w:type="pct"/>
            <w:tcBorders>
              <w:top w:val="single" w:sz="8" w:space="0" w:color="000000"/>
              <w:left w:val="single" w:sz="8" w:space="0" w:color="000000"/>
              <w:bottom w:val="single" w:sz="8" w:space="0" w:color="000000"/>
              <w:right w:val="single" w:sz="8" w:space="0" w:color="000000"/>
            </w:tcBorders>
            <w:vAlign w:val="center"/>
          </w:tcPr>
          <w:p w14:paraId="34F818C2" w14:textId="77777777" w:rsidR="00045376" w:rsidRPr="00290165" w:rsidRDefault="00045376" w:rsidP="006E6DB6">
            <w:pPr>
              <w:spacing w:line="259" w:lineRule="auto"/>
              <w:jc w:val="both"/>
              <w:rPr>
                <w:rFonts w:eastAsiaTheme="minorHAnsi" w:cstheme="minorHAnsi"/>
              </w:rPr>
            </w:pPr>
            <w:r w:rsidRPr="00290165">
              <w:rPr>
                <w:rFonts w:eastAsiaTheme="minorHAnsi" w:cstheme="minorHAnsi"/>
              </w:rPr>
              <w:t>No refund</w:t>
            </w:r>
          </w:p>
        </w:tc>
      </w:tr>
      <w:tr w:rsidR="00045376" w:rsidRPr="00290165" w14:paraId="198BF782" w14:textId="77777777" w:rsidTr="006E6DB6">
        <w:trPr>
          <w:trHeight w:val="461"/>
        </w:trPr>
        <w:tc>
          <w:tcPr>
            <w:tcW w:w="3113" w:type="pct"/>
            <w:tcBorders>
              <w:top w:val="single" w:sz="8" w:space="0" w:color="000000"/>
              <w:left w:val="single" w:sz="8" w:space="0" w:color="000000"/>
              <w:bottom w:val="single" w:sz="8" w:space="0" w:color="000000"/>
              <w:right w:val="single" w:sz="8" w:space="0" w:color="000000"/>
            </w:tcBorders>
          </w:tcPr>
          <w:p w14:paraId="581E48C8" w14:textId="77777777" w:rsidR="00045376" w:rsidRPr="00290165" w:rsidRDefault="00045376" w:rsidP="006E6DB6">
            <w:pPr>
              <w:spacing w:line="259" w:lineRule="auto"/>
              <w:jc w:val="both"/>
              <w:rPr>
                <w:rFonts w:eastAsiaTheme="minorHAnsi" w:cstheme="minorHAnsi"/>
              </w:rPr>
            </w:pPr>
            <w:r w:rsidRPr="00290165">
              <w:rPr>
                <w:rFonts w:eastAsiaTheme="minorHAnsi" w:cstheme="minorHAnsi"/>
              </w:rPr>
              <w:t xml:space="preserve">Visa refused after course commencement (with Department of Home Affairs Refusal Letter) </w:t>
            </w:r>
          </w:p>
        </w:tc>
        <w:tc>
          <w:tcPr>
            <w:tcW w:w="1887" w:type="pct"/>
            <w:tcBorders>
              <w:top w:val="single" w:sz="8" w:space="0" w:color="000000"/>
              <w:left w:val="single" w:sz="8" w:space="0" w:color="000000"/>
              <w:bottom w:val="single" w:sz="8" w:space="0" w:color="000000"/>
              <w:right w:val="single" w:sz="8" w:space="0" w:color="000000"/>
            </w:tcBorders>
            <w:vAlign w:val="center"/>
          </w:tcPr>
          <w:p w14:paraId="1CDB0643" w14:textId="77777777" w:rsidR="00045376" w:rsidRPr="00290165" w:rsidRDefault="00045376" w:rsidP="006E6DB6">
            <w:pPr>
              <w:spacing w:line="259" w:lineRule="auto"/>
              <w:jc w:val="both"/>
              <w:rPr>
                <w:rFonts w:eastAsiaTheme="minorHAnsi" w:cstheme="minorHAnsi"/>
              </w:rPr>
            </w:pPr>
            <w:r w:rsidRPr="00290165">
              <w:rPr>
                <w:rFonts w:eastAsiaTheme="minorHAnsi" w:cstheme="minorHAnsi"/>
              </w:rPr>
              <w:t>Refund of unused Tuition Fees for future study period/s</w:t>
            </w:r>
          </w:p>
        </w:tc>
      </w:tr>
      <w:tr w:rsidR="00045376" w:rsidRPr="00290165" w14:paraId="51E7FE50" w14:textId="77777777" w:rsidTr="006E6DB6">
        <w:trPr>
          <w:trHeight w:val="461"/>
        </w:trPr>
        <w:tc>
          <w:tcPr>
            <w:tcW w:w="3113" w:type="pct"/>
            <w:tcBorders>
              <w:top w:val="single" w:sz="8" w:space="0" w:color="000000"/>
              <w:left w:val="single" w:sz="8" w:space="0" w:color="000000"/>
              <w:bottom w:val="single" w:sz="8" w:space="0" w:color="000000"/>
              <w:right w:val="single" w:sz="8" w:space="0" w:color="000000"/>
            </w:tcBorders>
          </w:tcPr>
          <w:p w14:paraId="29A2EE6D" w14:textId="77777777" w:rsidR="00045376" w:rsidRPr="00290165" w:rsidRDefault="00045376" w:rsidP="006E6DB6">
            <w:pPr>
              <w:spacing w:line="259" w:lineRule="auto"/>
              <w:jc w:val="both"/>
              <w:rPr>
                <w:rFonts w:eastAsiaTheme="minorHAnsi" w:cstheme="minorHAnsi"/>
              </w:rPr>
            </w:pPr>
            <w:r w:rsidRPr="00290165">
              <w:rPr>
                <w:rFonts w:eastAsiaTheme="minorHAnsi" w:cstheme="minorHAnsi"/>
              </w:rPr>
              <w:t xml:space="preserve">Withdrawal after course commencement (with confirmed extenuating circumstances) </w:t>
            </w:r>
          </w:p>
        </w:tc>
        <w:tc>
          <w:tcPr>
            <w:tcW w:w="1887" w:type="pct"/>
            <w:tcBorders>
              <w:top w:val="single" w:sz="8" w:space="0" w:color="000000"/>
              <w:left w:val="single" w:sz="8" w:space="0" w:color="000000"/>
              <w:bottom w:val="single" w:sz="8" w:space="0" w:color="000000"/>
              <w:right w:val="single" w:sz="8" w:space="0" w:color="000000"/>
            </w:tcBorders>
            <w:vAlign w:val="center"/>
          </w:tcPr>
          <w:p w14:paraId="6AA187EA" w14:textId="77777777" w:rsidR="00045376" w:rsidRPr="00290165" w:rsidRDefault="00045376" w:rsidP="006E6DB6">
            <w:pPr>
              <w:spacing w:line="259" w:lineRule="auto"/>
              <w:jc w:val="both"/>
              <w:rPr>
                <w:rFonts w:eastAsiaTheme="minorHAnsi" w:cstheme="minorHAnsi"/>
              </w:rPr>
            </w:pPr>
            <w:r w:rsidRPr="00290165">
              <w:rPr>
                <w:rFonts w:eastAsiaTheme="minorHAnsi" w:cstheme="minorHAnsi"/>
              </w:rPr>
              <w:t>Refund of unused Tuition Fees for future study period/s</w:t>
            </w:r>
          </w:p>
        </w:tc>
      </w:tr>
      <w:tr w:rsidR="00045376" w:rsidRPr="00290165" w14:paraId="6A50F7C0" w14:textId="77777777" w:rsidTr="006E6DB6">
        <w:trPr>
          <w:trHeight w:val="461"/>
        </w:trPr>
        <w:tc>
          <w:tcPr>
            <w:tcW w:w="3113" w:type="pct"/>
            <w:tcBorders>
              <w:top w:val="single" w:sz="8" w:space="0" w:color="000000"/>
              <w:left w:val="single" w:sz="8" w:space="0" w:color="000000"/>
              <w:bottom w:val="single" w:sz="8" w:space="0" w:color="000000"/>
              <w:right w:val="single" w:sz="8" w:space="0" w:color="000000"/>
            </w:tcBorders>
          </w:tcPr>
          <w:p w14:paraId="4C1428E4" w14:textId="353BC090" w:rsidR="00045376" w:rsidRPr="00290165" w:rsidRDefault="00532F4F" w:rsidP="006E6DB6">
            <w:pPr>
              <w:spacing w:line="259" w:lineRule="auto"/>
              <w:jc w:val="both"/>
              <w:rPr>
                <w:rFonts w:eastAsiaTheme="minorHAnsi" w:cstheme="minorHAnsi"/>
              </w:rPr>
            </w:pPr>
            <w:r>
              <w:rPr>
                <w:rFonts w:eastAsiaTheme="minorHAnsi" w:cstheme="minorHAnsi"/>
              </w:rPr>
              <w:t>GET Education Australia</w:t>
            </w:r>
            <w:r w:rsidR="00045376" w:rsidRPr="00290165">
              <w:rPr>
                <w:rFonts w:eastAsiaTheme="minorHAnsi" w:cstheme="minorHAnsi"/>
              </w:rPr>
              <w:t xml:space="preserve"> is unable to continuously provide the commenced course for which the payment has been made  </w:t>
            </w:r>
          </w:p>
        </w:tc>
        <w:tc>
          <w:tcPr>
            <w:tcW w:w="1887" w:type="pct"/>
            <w:tcBorders>
              <w:top w:val="single" w:sz="8" w:space="0" w:color="000000"/>
              <w:left w:val="single" w:sz="8" w:space="0" w:color="000000"/>
              <w:bottom w:val="single" w:sz="8" w:space="0" w:color="000000"/>
              <w:right w:val="single" w:sz="8" w:space="0" w:color="000000"/>
            </w:tcBorders>
            <w:vAlign w:val="center"/>
          </w:tcPr>
          <w:p w14:paraId="3C7186E6" w14:textId="77777777" w:rsidR="00045376" w:rsidRPr="00290165" w:rsidRDefault="00045376" w:rsidP="006E6DB6">
            <w:pPr>
              <w:spacing w:line="259" w:lineRule="auto"/>
              <w:jc w:val="both"/>
              <w:rPr>
                <w:rFonts w:eastAsiaTheme="minorHAnsi" w:cstheme="minorHAnsi"/>
              </w:rPr>
            </w:pPr>
            <w:r w:rsidRPr="00290165">
              <w:rPr>
                <w:rFonts w:eastAsiaTheme="minorHAnsi" w:cstheme="minorHAnsi"/>
              </w:rPr>
              <w:t>Refund of unused Tuition Fees for future study period/s</w:t>
            </w:r>
          </w:p>
        </w:tc>
      </w:tr>
      <w:tr w:rsidR="00045376" w:rsidRPr="00290165" w14:paraId="1D202BE5" w14:textId="77777777" w:rsidTr="006E6DB6">
        <w:trPr>
          <w:trHeight w:val="458"/>
        </w:trPr>
        <w:tc>
          <w:tcPr>
            <w:tcW w:w="3113" w:type="pct"/>
            <w:tcBorders>
              <w:top w:val="single" w:sz="8" w:space="0" w:color="000000"/>
              <w:left w:val="single" w:sz="8" w:space="0" w:color="000000"/>
              <w:bottom w:val="single" w:sz="8" w:space="0" w:color="000000"/>
              <w:right w:val="single" w:sz="8" w:space="0" w:color="000000"/>
            </w:tcBorders>
          </w:tcPr>
          <w:p w14:paraId="3F3D648E" w14:textId="77777777" w:rsidR="00045376" w:rsidRPr="00290165" w:rsidRDefault="00045376" w:rsidP="006E6DB6">
            <w:pPr>
              <w:spacing w:line="259" w:lineRule="auto"/>
              <w:jc w:val="both"/>
              <w:rPr>
                <w:rFonts w:eastAsiaTheme="minorHAnsi" w:cstheme="minorHAnsi"/>
              </w:rPr>
            </w:pPr>
            <w:r w:rsidRPr="00290165">
              <w:rPr>
                <w:rFonts w:eastAsiaTheme="minorHAnsi" w:cstheme="minorHAnsi"/>
              </w:rPr>
              <w:t>Withdrawal after course commencement without extenuating circumstances or cancellation of course due to student default.</w:t>
            </w:r>
          </w:p>
        </w:tc>
        <w:tc>
          <w:tcPr>
            <w:tcW w:w="1887" w:type="pct"/>
            <w:tcBorders>
              <w:top w:val="single" w:sz="8" w:space="0" w:color="000000"/>
              <w:left w:val="single" w:sz="8" w:space="0" w:color="000000"/>
              <w:bottom w:val="single" w:sz="8" w:space="0" w:color="000000"/>
              <w:right w:val="single" w:sz="8" w:space="0" w:color="000000"/>
            </w:tcBorders>
            <w:vAlign w:val="center"/>
          </w:tcPr>
          <w:p w14:paraId="31477354" w14:textId="77777777" w:rsidR="00045376" w:rsidRPr="00290165" w:rsidRDefault="00045376" w:rsidP="006E6DB6">
            <w:pPr>
              <w:spacing w:line="259" w:lineRule="auto"/>
              <w:jc w:val="both"/>
              <w:rPr>
                <w:rFonts w:eastAsiaTheme="minorHAnsi" w:cstheme="minorHAnsi"/>
              </w:rPr>
            </w:pPr>
            <w:r w:rsidRPr="00290165">
              <w:rPr>
                <w:rFonts w:eastAsiaTheme="minorHAnsi" w:cstheme="minorHAnsi"/>
              </w:rPr>
              <w:t xml:space="preserve">No Refund </w:t>
            </w:r>
          </w:p>
        </w:tc>
      </w:tr>
      <w:tr w:rsidR="00045376" w:rsidRPr="00290165" w14:paraId="7E72795A" w14:textId="77777777" w:rsidTr="006E6DB6">
        <w:trPr>
          <w:trHeight w:val="411"/>
        </w:trPr>
        <w:tc>
          <w:tcPr>
            <w:tcW w:w="3113" w:type="pct"/>
            <w:tcBorders>
              <w:top w:val="single" w:sz="8" w:space="0" w:color="000000"/>
              <w:left w:val="single" w:sz="8" w:space="0" w:color="000000"/>
              <w:bottom w:val="single" w:sz="8" w:space="0" w:color="000000"/>
              <w:right w:val="single" w:sz="8" w:space="0" w:color="000000"/>
            </w:tcBorders>
          </w:tcPr>
          <w:p w14:paraId="7640A384" w14:textId="77777777" w:rsidR="00045376" w:rsidRPr="00290165" w:rsidRDefault="00045376" w:rsidP="006E6DB6">
            <w:pPr>
              <w:spacing w:line="259" w:lineRule="auto"/>
              <w:jc w:val="both"/>
              <w:rPr>
                <w:rFonts w:eastAsiaTheme="minorHAnsi" w:cstheme="minorHAnsi"/>
              </w:rPr>
            </w:pPr>
            <w:r w:rsidRPr="00290165">
              <w:rPr>
                <w:rFonts w:eastAsiaTheme="minorHAnsi" w:cstheme="minorHAnsi"/>
              </w:rPr>
              <w:t>Abandonment of Course / Failure to return after scheduled break. Overseas Students withdrawing from a course of study will be reported to Department of Home Affairs, as required by law.</w:t>
            </w:r>
          </w:p>
        </w:tc>
        <w:tc>
          <w:tcPr>
            <w:tcW w:w="1887" w:type="pct"/>
            <w:tcBorders>
              <w:top w:val="single" w:sz="8" w:space="0" w:color="000000"/>
              <w:left w:val="single" w:sz="8" w:space="0" w:color="000000"/>
              <w:bottom w:val="single" w:sz="8" w:space="0" w:color="000000"/>
              <w:right w:val="single" w:sz="8" w:space="0" w:color="000000"/>
            </w:tcBorders>
            <w:vAlign w:val="center"/>
          </w:tcPr>
          <w:p w14:paraId="28CDE90E" w14:textId="77777777" w:rsidR="00045376" w:rsidRPr="00290165" w:rsidRDefault="00045376" w:rsidP="006E6DB6">
            <w:pPr>
              <w:spacing w:line="259" w:lineRule="auto"/>
              <w:jc w:val="both"/>
              <w:rPr>
                <w:rFonts w:cs="Tahoma"/>
              </w:rPr>
            </w:pPr>
            <w:r w:rsidRPr="00290165">
              <w:rPr>
                <w:rFonts w:cs="Tahoma"/>
              </w:rPr>
              <w:t>No refund</w:t>
            </w:r>
          </w:p>
        </w:tc>
      </w:tr>
      <w:tr w:rsidR="00045376" w:rsidRPr="00290165" w14:paraId="6F584791" w14:textId="77777777" w:rsidTr="006E6DB6">
        <w:trPr>
          <w:trHeight w:val="411"/>
        </w:trPr>
        <w:tc>
          <w:tcPr>
            <w:tcW w:w="3113" w:type="pct"/>
            <w:vMerge w:val="restart"/>
            <w:tcBorders>
              <w:top w:val="single" w:sz="8" w:space="0" w:color="000000"/>
              <w:left w:val="single" w:sz="8" w:space="0" w:color="000000"/>
              <w:right w:val="single" w:sz="8" w:space="0" w:color="000000"/>
            </w:tcBorders>
          </w:tcPr>
          <w:p w14:paraId="08A6658A" w14:textId="77777777" w:rsidR="00045376" w:rsidRPr="00290165" w:rsidRDefault="00045376" w:rsidP="006E6DB6">
            <w:pPr>
              <w:spacing w:line="259" w:lineRule="auto"/>
              <w:jc w:val="both"/>
              <w:rPr>
                <w:rFonts w:eastAsiaTheme="minorHAnsi" w:cstheme="minorHAnsi"/>
              </w:rPr>
            </w:pPr>
          </w:p>
          <w:p w14:paraId="72920BB6" w14:textId="77777777" w:rsidR="00045376" w:rsidRPr="00290165" w:rsidRDefault="00045376" w:rsidP="006E6DB6">
            <w:pPr>
              <w:spacing w:line="259" w:lineRule="auto"/>
              <w:jc w:val="both"/>
              <w:rPr>
                <w:rFonts w:eastAsiaTheme="minorHAnsi" w:cstheme="minorHAnsi"/>
              </w:rPr>
            </w:pPr>
            <w:r w:rsidRPr="00290165">
              <w:rPr>
                <w:rFonts w:eastAsiaTheme="minorHAnsi" w:cstheme="minorHAnsi"/>
              </w:rPr>
              <w:t xml:space="preserve">Student’s extension of Visa is not granted. </w:t>
            </w:r>
          </w:p>
        </w:tc>
        <w:tc>
          <w:tcPr>
            <w:tcW w:w="1887" w:type="pct"/>
            <w:tcBorders>
              <w:top w:val="single" w:sz="8" w:space="0" w:color="000000"/>
              <w:left w:val="single" w:sz="8" w:space="0" w:color="000000"/>
              <w:bottom w:val="single" w:sz="8" w:space="0" w:color="000000"/>
              <w:right w:val="single" w:sz="8" w:space="0" w:color="000000"/>
            </w:tcBorders>
            <w:vAlign w:val="center"/>
          </w:tcPr>
          <w:p w14:paraId="67D8483D" w14:textId="77777777" w:rsidR="00045376" w:rsidRPr="00290165" w:rsidRDefault="00045376" w:rsidP="006E6DB6">
            <w:pPr>
              <w:spacing w:line="259" w:lineRule="auto"/>
              <w:jc w:val="both"/>
              <w:rPr>
                <w:rFonts w:eastAsiaTheme="minorHAnsi" w:cstheme="minorHAnsi"/>
              </w:rPr>
            </w:pPr>
            <w:r w:rsidRPr="00290165">
              <w:rPr>
                <w:rFonts w:eastAsiaTheme="minorHAnsi" w:cstheme="minorHAnsi"/>
              </w:rPr>
              <w:t>No refund</w:t>
            </w:r>
          </w:p>
        </w:tc>
      </w:tr>
      <w:tr w:rsidR="00045376" w:rsidRPr="00290165" w14:paraId="7828142E" w14:textId="77777777" w:rsidTr="006E6DB6">
        <w:trPr>
          <w:trHeight w:val="411"/>
        </w:trPr>
        <w:tc>
          <w:tcPr>
            <w:tcW w:w="3113" w:type="pct"/>
            <w:vMerge/>
            <w:tcBorders>
              <w:left w:val="single" w:sz="8" w:space="0" w:color="000000"/>
              <w:bottom w:val="single" w:sz="8" w:space="0" w:color="000000"/>
              <w:right w:val="single" w:sz="8" w:space="0" w:color="000000"/>
            </w:tcBorders>
          </w:tcPr>
          <w:p w14:paraId="28BE65BC" w14:textId="77777777" w:rsidR="00045376" w:rsidRPr="00290165" w:rsidRDefault="00045376" w:rsidP="006E6DB6">
            <w:pPr>
              <w:jc w:val="both"/>
              <w:rPr>
                <w:rFonts w:eastAsiaTheme="minorHAnsi" w:cstheme="minorHAnsi"/>
              </w:rPr>
            </w:pPr>
          </w:p>
        </w:tc>
        <w:tc>
          <w:tcPr>
            <w:tcW w:w="1887" w:type="pct"/>
            <w:tcBorders>
              <w:top w:val="single" w:sz="8" w:space="0" w:color="000000"/>
              <w:left w:val="single" w:sz="8" w:space="0" w:color="000000"/>
              <w:bottom w:val="single" w:sz="8" w:space="0" w:color="000000"/>
              <w:right w:val="single" w:sz="8" w:space="0" w:color="000000"/>
            </w:tcBorders>
            <w:vAlign w:val="center"/>
          </w:tcPr>
          <w:p w14:paraId="2B51B20B" w14:textId="77777777" w:rsidR="00045376" w:rsidRPr="00290165" w:rsidRDefault="00045376" w:rsidP="006E6DB6">
            <w:pPr>
              <w:jc w:val="both"/>
              <w:rPr>
                <w:rFonts w:eastAsiaTheme="minorHAnsi" w:cstheme="minorHAnsi"/>
              </w:rPr>
            </w:pPr>
            <w:r w:rsidRPr="00290165">
              <w:rPr>
                <w:rFonts w:eastAsiaTheme="minorHAnsi" w:cstheme="minorHAnsi"/>
              </w:rPr>
              <w:t xml:space="preserve">If entire fees </w:t>
            </w:r>
            <w:proofErr w:type="gramStart"/>
            <w:r w:rsidRPr="00290165">
              <w:rPr>
                <w:rFonts w:eastAsiaTheme="minorHAnsi" w:cstheme="minorHAnsi"/>
              </w:rPr>
              <w:t>is</w:t>
            </w:r>
            <w:proofErr w:type="gramEnd"/>
            <w:r w:rsidRPr="00290165">
              <w:rPr>
                <w:rFonts w:eastAsiaTheme="minorHAnsi" w:cstheme="minorHAnsi"/>
              </w:rPr>
              <w:t xml:space="preserve"> paid, refund of unused tuition fees less (fess for ongoing term and administration fee)</w:t>
            </w:r>
          </w:p>
        </w:tc>
      </w:tr>
      <w:tr w:rsidR="00045376" w:rsidRPr="00290165" w14:paraId="59E3920D" w14:textId="77777777" w:rsidTr="006E6DB6">
        <w:trPr>
          <w:trHeight w:val="411"/>
        </w:trPr>
        <w:tc>
          <w:tcPr>
            <w:tcW w:w="3113" w:type="pct"/>
            <w:tcBorders>
              <w:top w:val="single" w:sz="8" w:space="0" w:color="000000"/>
              <w:left w:val="single" w:sz="8" w:space="0" w:color="000000"/>
              <w:bottom w:val="single" w:sz="8" w:space="0" w:color="000000"/>
              <w:right w:val="single" w:sz="8" w:space="0" w:color="000000"/>
            </w:tcBorders>
          </w:tcPr>
          <w:p w14:paraId="349B0DCA" w14:textId="77777777" w:rsidR="00045376" w:rsidRPr="00290165" w:rsidRDefault="00045376" w:rsidP="006E6DB6">
            <w:pPr>
              <w:jc w:val="both"/>
              <w:rPr>
                <w:rFonts w:eastAsiaTheme="minorHAnsi" w:cstheme="minorHAnsi"/>
              </w:rPr>
            </w:pPr>
            <w:r w:rsidRPr="00290165">
              <w:rPr>
                <w:rFonts w:eastAsiaTheme="minorHAnsi" w:cstheme="minorHAnsi"/>
              </w:rPr>
              <w:t>Visa is cancelled due to any action of student</w:t>
            </w:r>
          </w:p>
        </w:tc>
        <w:tc>
          <w:tcPr>
            <w:tcW w:w="1887" w:type="pct"/>
            <w:tcBorders>
              <w:top w:val="single" w:sz="8" w:space="0" w:color="000000"/>
              <w:left w:val="single" w:sz="8" w:space="0" w:color="000000"/>
              <w:bottom w:val="single" w:sz="8" w:space="0" w:color="000000"/>
              <w:right w:val="single" w:sz="8" w:space="0" w:color="000000"/>
            </w:tcBorders>
            <w:vAlign w:val="center"/>
          </w:tcPr>
          <w:p w14:paraId="3B6CD992" w14:textId="77777777" w:rsidR="00045376" w:rsidRPr="00290165" w:rsidRDefault="00045376" w:rsidP="006E6DB6">
            <w:pPr>
              <w:jc w:val="both"/>
              <w:rPr>
                <w:rFonts w:eastAsiaTheme="minorHAnsi" w:cstheme="minorHAnsi"/>
              </w:rPr>
            </w:pPr>
            <w:r w:rsidRPr="00290165">
              <w:rPr>
                <w:rFonts w:eastAsiaTheme="minorHAnsi" w:cstheme="minorHAnsi"/>
              </w:rPr>
              <w:t>No refund</w:t>
            </w:r>
          </w:p>
        </w:tc>
      </w:tr>
      <w:tr w:rsidR="00045376" w:rsidRPr="00290165" w14:paraId="621EE8E0" w14:textId="77777777" w:rsidTr="006E6DB6">
        <w:trPr>
          <w:trHeight w:val="411"/>
        </w:trPr>
        <w:tc>
          <w:tcPr>
            <w:tcW w:w="3113" w:type="pct"/>
            <w:tcBorders>
              <w:top w:val="single" w:sz="8" w:space="0" w:color="000000"/>
              <w:left w:val="single" w:sz="8" w:space="0" w:color="000000"/>
              <w:bottom w:val="single" w:sz="8" w:space="0" w:color="000000"/>
              <w:right w:val="single" w:sz="8" w:space="0" w:color="000000"/>
            </w:tcBorders>
          </w:tcPr>
          <w:p w14:paraId="0A66D8AA" w14:textId="77777777" w:rsidR="00045376" w:rsidRPr="00290165" w:rsidRDefault="00045376" w:rsidP="006E6DB6">
            <w:pPr>
              <w:spacing w:line="259" w:lineRule="auto"/>
              <w:jc w:val="both"/>
              <w:rPr>
                <w:rFonts w:eastAsiaTheme="minorHAnsi" w:cstheme="minorHAnsi"/>
              </w:rPr>
            </w:pPr>
            <w:r w:rsidRPr="00290165">
              <w:rPr>
                <w:rFonts w:eastAsiaTheme="minorHAnsi" w:cstheme="minorHAnsi"/>
              </w:rPr>
              <w:t>RPL assessment</w:t>
            </w:r>
          </w:p>
        </w:tc>
        <w:tc>
          <w:tcPr>
            <w:tcW w:w="1887" w:type="pct"/>
            <w:tcBorders>
              <w:top w:val="single" w:sz="8" w:space="0" w:color="000000"/>
              <w:left w:val="single" w:sz="8" w:space="0" w:color="000000"/>
              <w:bottom w:val="single" w:sz="8" w:space="0" w:color="000000"/>
              <w:right w:val="single" w:sz="8" w:space="0" w:color="000000"/>
            </w:tcBorders>
            <w:vAlign w:val="center"/>
          </w:tcPr>
          <w:p w14:paraId="2692A05D" w14:textId="77777777" w:rsidR="00045376" w:rsidRPr="00290165" w:rsidRDefault="00045376" w:rsidP="006E6DB6">
            <w:pPr>
              <w:spacing w:line="259" w:lineRule="auto"/>
              <w:jc w:val="both"/>
              <w:rPr>
                <w:rFonts w:eastAsiaTheme="minorHAnsi" w:cstheme="minorHAnsi"/>
              </w:rPr>
            </w:pPr>
            <w:r w:rsidRPr="00290165">
              <w:rPr>
                <w:rFonts w:eastAsiaTheme="minorHAnsi" w:cstheme="minorHAnsi"/>
              </w:rPr>
              <w:t>No refund</w:t>
            </w:r>
          </w:p>
        </w:tc>
      </w:tr>
    </w:tbl>
    <w:p w14:paraId="56D8B217" w14:textId="374445AB" w:rsidR="00045376" w:rsidRDefault="00045376" w:rsidP="00045376">
      <w:pPr>
        <w:pStyle w:val="Heading4"/>
        <w:jc w:val="both"/>
        <w:rPr>
          <w:rFonts w:asciiTheme="minorHAnsi" w:eastAsiaTheme="minorHAnsi" w:hAnsiTheme="minorHAnsi" w:cstheme="minorHAnsi"/>
          <w:iCs w:val="0"/>
          <w:color w:val="auto"/>
        </w:rPr>
      </w:pPr>
      <w:r w:rsidRPr="00290165">
        <w:rPr>
          <w:rFonts w:asciiTheme="minorHAnsi" w:eastAsiaTheme="minorHAnsi" w:hAnsiTheme="minorHAnsi" w:cstheme="minorHAnsi"/>
          <w:iCs w:val="0"/>
          <w:color w:val="auto"/>
        </w:rPr>
        <w:lastRenderedPageBreak/>
        <w:t>*****Administration fee is calculated as 5% of the amount paid or $500 whichever is the lesser*****</w:t>
      </w:r>
    </w:p>
    <w:p w14:paraId="0EE2E065" w14:textId="77777777" w:rsidR="00DC7C7B" w:rsidRDefault="00DC7C7B" w:rsidP="00045376">
      <w:pPr>
        <w:pStyle w:val="Heading4"/>
        <w:jc w:val="both"/>
        <w:rPr>
          <w:rFonts w:asciiTheme="minorHAnsi" w:hAnsiTheme="minorHAnsi" w:cs="Tahoma"/>
        </w:rPr>
      </w:pPr>
    </w:p>
    <w:p w14:paraId="5234F897" w14:textId="30C73784" w:rsidR="00045376" w:rsidRPr="00290165" w:rsidRDefault="00045376" w:rsidP="00045376">
      <w:pPr>
        <w:pStyle w:val="Heading4"/>
        <w:jc w:val="both"/>
        <w:rPr>
          <w:rFonts w:asciiTheme="minorHAnsi" w:hAnsiTheme="minorHAnsi" w:cs="Tahoma"/>
        </w:rPr>
      </w:pPr>
      <w:r w:rsidRPr="00290165">
        <w:rPr>
          <w:rFonts w:asciiTheme="minorHAnsi" w:hAnsiTheme="minorHAnsi" w:cs="Tahoma"/>
        </w:rPr>
        <w:t>Late Payment of Fees</w:t>
      </w:r>
    </w:p>
    <w:p w14:paraId="5531A9B2" w14:textId="77777777" w:rsidR="00045376" w:rsidRPr="00290165" w:rsidRDefault="00045376" w:rsidP="00045376">
      <w:pPr>
        <w:spacing w:after="0"/>
        <w:ind w:right="14"/>
        <w:jc w:val="both"/>
        <w:rPr>
          <w:rFonts w:cstheme="minorHAnsi"/>
        </w:rPr>
      </w:pPr>
      <w:r w:rsidRPr="00290165">
        <w:rPr>
          <w:rFonts w:cstheme="minorHAnsi"/>
        </w:rPr>
        <w:t>Students are required to pay their tuition fees and any outstanding charges on the due date specified. If the student fails to make the payment by the due date, the following will occur:</w:t>
      </w:r>
    </w:p>
    <w:p w14:paraId="6D4800A1" w14:textId="77777777" w:rsidR="00045376" w:rsidRPr="00290165" w:rsidRDefault="00045376" w:rsidP="00045376">
      <w:pPr>
        <w:pStyle w:val="ListParagraph"/>
        <w:numPr>
          <w:ilvl w:val="0"/>
          <w:numId w:val="19"/>
        </w:numPr>
        <w:ind w:left="360" w:right="9"/>
        <w:jc w:val="both"/>
        <w:rPr>
          <w:rFonts w:asciiTheme="minorHAnsi" w:eastAsiaTheme="minorHAnsi" w:hAnsiTheme="minorHAnsi" w:cstheme="minorHAnsi"/>
        </w:rPr>
      </w:pPr>
      <w:r w:rsidRPr="00290165">
        <w:rPr>
          <w:rFonts w:asciiTheme="minorHAnsi" w:eastAsiaTheme="minorHAnsi" w:hAnsiTheme="minorHAnsi" w:cstheme="minorHAnsi"/>
        </w:rPr>
        <w:t xml:space="preserve">Payment reminder will be sent to student within 7 calendar days after the due date. </w:t>
      </w:r>
    </w:p>
    <w:p w14:paraId="7E4D2110" w14:textId="77777777" w:rsidR="00045376" w:rsidRPr="00290165" w:rsidRDefault="00045376" w:rsidP="00045376">
      <w:pPr>
        <w:pStyle w:val="ListParagraph"/>
        <w:numPr>
          <w:ilvl w:val="0"/>
          <w:numId w:val="19"/>
        </w:numPr>
        <w:ind w:left="360" w:right="9"/>
        <w:jc w:val="both"/>
        <w:rPr>
          <w:rFonts w:asciiTheme="minorHAnsi" w:eastAsiaTheme="minorHAnsi" w:hAnsiTheme="minorHAnsi" w:cstheme="minorHAnsi"/>
        </w:rPr>
      </w:pPr>
      <w:r w:rsidRPr="00290165">
        <w:rPr>
          <w:rFonts w:asciiTheme="minorHAnsi" w:eastAsiaTheme="minorHAnsi" w:hAnsiTheme="minorHAnsi" w:cstheme="minorHAnsi"/>
        </w:rPr>
        <w:t>After 7 days, if student fails to make any payment or obtain a payment plan, student will be issued first warning letter. Student will further have 7 calendar days to make the payment. If the student is on payment plan, then student will be required to pay the whole study period’s outstanding balance.  A late payment fee of 18% of the total amount owing may be levied.</w:t>
      </w:r>
    </w:p>
    <w:p w14:paraId="6FFA5753" w14:textId="77777777" w:rsidR="00045376" w:rsidRPr="00290165" w:rsidRDefault="00045376" w:rsidP="00045376">
      <w:pPr>
        <w:pStyle w:val="ListParagraph"/>
        <w:numPr>
          <w:ilvl w:val="0"/>
          <w:numId w:val="19"/>
        </w:numPr>
        <w:ind w:left="360" w:right="9"/>
        <w:jc w:val="both"/>
        <w:rPr>
          <w:rFonts w:asciiTheme="minorHAnsi" w:eastAsiaTheme="minorHAnsi" w:hAnsiTheme="minorHAnsi" w:cstheme="minorHAnsi"/>
        </w:rPr>
      </w:pPr>
      <w:r w:rsidRPr="00290165">
        <w:rPr>
          <w:rFonts w:asciiTheme="minorHAnsi" w:eastAsiaTheme="minorHAnsi" w:hAnsiTheme="minorHAnsi" w:cstheme="minorHAnsi"/>
        </w:rPr>
        <w:t>Final warning letter will be sent to student with fee overdue for more than 28 calendar days. If student fails to pay the overdue account within 7 calendar days of final warning letter, the Institute will refer student's case to Institute's debt collection agency.</w:t>
      </w:r>
    </w:p>
    <w:p w14:paraId="71F4F65F" w14:textId="3864E471" w:rsidR="00045376" w:rsidRPr="00290165" w:rsidRDefault="00045376" w:rsidP="00045376">
      <w:pPr>
        <w:pStyle w:val="ListParagraph"/>
        <w:numPr>
          <w:ilvl w:val="0"/>
          <w:numId w:val="19"/>
        </w:numPr>
        <w:ind w:left="360" w:right="9"/>
        <w:jc w:val="both"/>
        <w:rPr>
          <w:rFonts w:asciiTheme="minorHAnsi" w:eastAsiaTheme="minorHAnsi" w:hAnsiTheme="minorHAnsi" w:cstheme="minorHAnsi"/>
        </w:rPr>
      </w:pPr>
      <w:r w:rsidRPr="00290165">
        <w:rPr>
          <w:rFonts w:asciiTheme="minorHAnsi" w:eastAsiaTheme="minorHAnsi" w:hAnsiTheme="minorHAnsi" w:cstheme="minorHAnsi"/>
        </w:rPr>
        <w:t xml:space="preserve">In final warning letter, </w:t>
      </w:r>
      <w:r w:rsidR="00532F4F">
        <w:rPr>
          <w:rFonts w:asciiTheme="minorHAnsi" w:eastAsiaTheme="minorHAnsi" w:hAnsiTheme="minorHAnsi" w:cstheme="minorHAnsi"/>
        </w:rPr>
        <w:t>GET Education Australia</w:t>
      </w:r>
      <w:r w:rsidRPr="00290165">
        <w:rPr>
          <w:rFonts w:asciiTheme="minorHAnsi" w:eastAsiaTheme="minorHAnsi" w:hAnsiTheme="minorHAnsi" w:cstheme="minorHAnsi"/>
        </w:rPr>
        <w:t xml:space="preserve"> will also inform the student about the intention to report to Department of Home Affairs based on non-payment of fees, which may result in cancellation of student’s enrolment and student visa.</w:t>
      </w:r>
    </w:p>
    <w:p w14:paraId="5D9C9804" w14:textId="3CB7F0FB" w:rsidR="00045376" w:rsidRPr="00290165" w:rsidRDefault="00045376" w:rsidP="00045376">
      <w:pPr>
        <w:pStyle w:val="ListParagraph"/>
        <w:numPr>
          <w:ilvl w:val="0"/>
          <w:numId w:val="19"/>
        </w:numPr>
        <w:ind w:left="360" w:right="9"/>
        <w:jc w:val="both"/>
        <w:rPr>
          <w:rFonts w:asciiTheme="minorHAnsi" w:eastAsiaTheme="minorHAnsi" w:hAnsiTheme="minorHAnsi" w:cstheme="minorHAnsi"/>
        </w:rPr>
      </w:pPr>
      <w:r w:rsidRPr="00290165">
        <w:rPr>
          <w:rFonts w:asciiTheme="minorHAnsi" w:eastAsiaTheme="minorHAnsi" w:hAnsiTheme="minorHAnsi" w:cstheme="minorHAnsi"/>
        </w:rPr>
        <w:t xml:space="preserve">Student will have 20 working days to make an appeal. For more Information, please refer to </w:t>
      </w:r>
      <w:r w:rsidR="00532F4F">
        <w:rPr>
          <w:rFonts w:asciiTheme="minorHAnsi" w:eastAsiaTheme="minorHAnsi" w:hAnsiTheme="minorHAnsi" w:cstheme="minorHAnsi"/>
        </w:rPr>
        <w:t>GET Education Australia</w:t>
      </w:r>
      <w:r w:rsidRPr="00290165">
        <w:rPr>
          <w:rFonts w:asciiTheme="minorHAnsi" w:eastAsiaTheme="minorHAnsi" w:hAnsiTheme="minorHAnsi" w:cstheme="minorHAnsi"/>
        </w:rPr>
        <w:t>’s Complaint and Appeal policy</w:t>
      </w:r>
    </w:p>
    <w:p w14:paraId="5B80B4E2" w14:textId="77777777" w:rsidR="00045376" w:rsidRPr="00290165" w:rsidRDefault="00045376" w:rsidP="00045376">
      <w:pPr>
        <w:pStyle w:val="ListParagraph"/>
        <w:numPr>
          <w:ilvl w:val="0"/>
          <w:numId w:val="19"/>
        </w:numPr>
        <w:ind w:left="360" w:right="9"/>
        <w:jc w:val="both"/>
        <w:rPr>
          <w:rFonts w:asciiTheme="minorHAnsi" w:eastAsiaTheme="minorHAnsi" w:hAnsiTheme="minorHAnsi" w:cstheme="minorHAnsi"/>
        </w:rPr>
      </w:pPr>
      <w:r w:rsidRPr="00290165">
        <w:rPr>
          <w:rFonts w:asciiTheme="minorHAnsi" w:eastAsiaTheme="minorHAnsi" w:hAnsiTheme="minorHAnsi" w:cstheme="minorHAnsi"/>
        </w:rPr>
        <w:t xml:space="preserve">The CEO may grant an extension and/or waiver late fees, where extenuating circumstances has been provided by the student. </w:t>
      </w:r>
    </w:p>
    <w:p w14:paraId="73A81D5D" w14:textId="77777777" w:rsidR="00045376" w:rsidRPr="00290165" w:rsidRDefault="00045376" w:rsidP="00045376">
      <w:pPr>
        <w:pStyle w:val="ListParagraph"/>
        <w:numPr>
          <w:ilvl w:val="0"/>
          <w:numId w:val="19"/>
        </w:numPr>
        <w:ind w:left="360" w:right="9"/>
        <w:jc w:val="both"/>
        <w:rPr>
          <w:rFonts w:asciiTheme="minorHAnsi" w:eastAsiaTheme="minorHAnsi" w:hAnsiTheme="minorHAnsi" w:cstheme="minorHAnsi"/>
        </w:rPr>
      </w:pPr>
      <w:r w:rsidRPr="00290165">
        <w:rPr>
          <w:rFonts w:asciiTheme="minorHAnsi" w:eastAsiaTheme="minorHAnsi" w:hAnsiTheme="minorHAnsi" w:cstheme="minorHAnsi"/>
        </w:rPr>
        <w:t>In the case where fee extension request is not approved, the student information is sent to debt collection agency. These details will include:</w:t>
      </w:r>
    </w:p>
    <w:p w14:paraId="137B5BC5" w14:textId="77777777" w:rsidR="00045376" w:rsidRPr="00290165" w:rsidRDefault="00045376" w:rsidP="00045376">
      <w:pPr>
        <w:pStyle w:val="ListParagraph"/>
        <w:numPr>
          <w:ilvl w:val="0"/>
          <w:numId w:val="20"/>
        </w:numPr>
        <w:ind w:right="9"/>
        <w:jc w:val="both"/>
        <w:rPr>
          <w:rFonts w:asciiTheme="minorHAnsi" w:eastAsiaTheme="minorHAnsi" w:hAnsiTheme="minorHAnsi" w:cstheme="minorHAnsi"/>
        </w:rPr>
      </w:pPr>
      <w:r w:rsidRPr="00290165">
        <w:rPr>
          <w:rFonts w:asciiTheme="minorHAnsi" w:eastAsiaTheme="minorHAnsi" w:hAnsiTheme="minorHAnsi" w:cstheme="minorHAnsi"/>
        </w:rPr>
        <w:t>Student name, contact detail and total fee that the student is indebted to RTO.</w:t>
      </w:r>
    </w:p>
    <w:p w14:paraId="7E7C4617" w14:textId="77777777" w:rsidR="00045376" w:rsidRPr="00290165" w:rsidRDefault="00045376" w:rsidP="00045376">
      <w:pPr>
        <w:pStyle w:val="ListParagraph"/>
        <w:numPr>
          <w:ilvl w:val="0"/>
          <w:numId w:val="20"/>
        </w:numPr>
        <w:ind w:right="9"/>
        <w:jc w:val="both"/>
        <w:rPr>
          <w:rFonts w:asciiTheme="minorHAnsi" w:eastAsiaTheme="minorHAnsi" w:hAnsiTheme="minorHAnsi" w:cstheme="minorHAnsi"/>
        </w:rPr>
      </w:pPr>
      <w:r w:rsidRPr="00290165">
        <w:rPr>
          <w:rFonts w:asciiTheme="minorHAnsi" w:eastAsiaTheme="minorHAnsi" w:hAnsiTheme="minorHAnsi" w:cstheme="minorHAnsi"/>
        </w:rPr>
        <w:t>The student will be informed that they may be contacted by the Institute’s debt collection agency and if required legal action may be taken against the student, and that all legal matters will be dealt with under the jurisdiction of Victoria.</w:t>
      </w:r>
    </w:p>
    <w:p w14:paraId="0099E309" w14:textId="77777777" w:rsidR="00045376" w:rsidRPr="00290165" w:rsidRDefault="00045376" w:rsidP="00045376">
      <w:pPr>
        <w:ind w:right="9"/>
        <w:jc w:val="both"/>
        <w:rPr>
          <w:rFonts w:cstheme="minorHAnsi"/>
        </w:rPr>
      </w:pPr>
      <w:r w:rsidRPr="00290165">
        <w:rPr>
          <w:rFonts w:cstheme="minorHAnsi"/>
        </w:rPr>
        <w:t xml:space="preserve">Students willing to resume study at RTO will have to re-enrol in the course, </w:t>
      </w:r>
      <w:proofErr w:type="gramStart"/>
      <w:r w:rsidRPr="00290165">
        <w:rPr>
          <w:rFonts w:cstheme="minorHAnsi"/>
        </w:rPr>
        <w:t>provided that</w:t>
      </w:r>
      <w:proofErr w:type="gramEnd"/>
      <w:r w:rsidRPr="00290165">
        <w:rPr>
          <w:rFonts w:cstheme="minorHAnsi"/>
        </w:rPr>
        <w:t xml:space="preserve"> they have paid the total outstanding fee in full.</w:t>
      </w:r>
    </w:p>
    <w:p w14:paraId="2AA77B5B" w14:textId="77777777" w:rsidR="00045376" w:rsidRPr="00290165" w:rsidRDefault="00045376" w:rsidP="00045376">
      <w:pPr>
        <w:spacing w:after="0"/>
        <w:ind w:right="14"/>
        <w:jc w:val="both"/>
        <w:rPr>
          <w:rFonts w:cstheme="minorHAnsi"/>
        </w:rPr>
      </w:pPr>
      <w:r w:rsidRPr="00290165">
        <w:rPr>
          <w:rFonts w:cstheme="minorHAnsi"/>
        </w:rPr>
        <w:t>Where a student continues to have an outstanding fee, the following restrictions may apply:</w:t>
      </w:r>
    </w:p>
    <w:p w14:paraId="7634168B" w14:textId="77777777" w:rsidR="00045376" w:rsidRPr="00290165" w:rsidRDefault="00045376" w:rsidP="00045376">
      <w:pPr>
        <w:pStyle w:val="ListParagraph"/>
        <w:numPr>
          <w:ilvl w:val="0"/>
          <w:numId w:val="20"/>
        </w:numPr>
        <w:ind w:right="9"/>
        <w:jc w:val="both"/>
        <w:rPr>
          <w:rFonts w:asciiTheme="minorHAnsi" w:eastAsiaTheme="minorHAnsi" w:hAnsiTheme="minorHAnsi" w:cstheme="minorHAnsi"/>
        </w:rPr>
      </w:pPr>
      <w:r w:rsidRPr="00290165">
        <w:rPr>
          <w:rFonts w:asciiTheme="minorHAnsi" w:eastAsiaTheme="minorHAnsi" w:hAnsiTheme="minorHAnsi" w:cstheme="minorHAnsi"/>
        </w:rPr>
        <w:t>Loss of access to enrolment records, examination results and academic transcripts</w:t>
      </w:r>
    </w:p>
    <w:p w14:paraId="4751B896" w14:textId="77777777" w:rsidR="00045376" w:rsidRPr="00290165" w:rsidRDefault="00045376" w:rsidP="00045376">
      <w:pPr>
        <w:pStyle w:val="ListParagraph"/>
        <w:numPr>
          <w:ilvl w:val="0"/>
          <w:numId w:val="20"/>
        </w:numPr>
        <w:ind w:right="9"/>
        <w:jc w:val="both"/>
        <w:rPr>
          <w:rFonts w:asciiTheme="minorHAnsi" w:hAnsiTheme="minorHAnsi" w:cs="Tahoma"/>
        </w:rPr>
      </w:pPr>
      <w:r w:rsidRPr="00290165">
        <w:rPr>
          <w:rFonts w:asciiTheme="minorHAnsi" w:eastAsiaTheme="minorHAnsi" w:hAnsiTheme="minorHAnsi" w:cstheme="minorHAnsi"/>
        </w:rPr>
        <w:t>The inability to graduate until the outstanding debt is cleared</w:t>
      </w:r>
    </w:p>
    <w:p w14:paraId="25232BE2" w14:textId="77777777" w:rsidR="00045376" w:rsidRPr="00290165" w:rsidRDefault="00045376" w:rsidP="00045376">
      <w:pPr>
        <w:pStyle w:val="Heading3"/>
        <w:jc w:val="both"/>
        <w:rPr>
          <w:rFonts w:asciiTheme="minorHAnsi" w:eastAsia="Calibri" w:hAnsiTheme="minorHAnsi"/>
          <w:sz w:val="22"/>
          <w:szCs w:val="22"/>
        </w:rPr>
      </w:pPr>
      <w:r w:rsidRPr="00290165">
        <w:rPr>
          <w:rFonts w:asciiTheme="minorHAnsi" w:eastAsia="Calibri" w:hAnsiTheme="minorHAnsi"/>
          <w:sz w:val="22"/>
          <w:szCs w:val="22"/>
        </w:rPr>
        <w:t xml:space="preserve">Maintaining Records of Refunds </w:t>
      </w:r>
    </w:p>
    <w:p w14:paraId="51574B53" w14:textId="77777777" w:rsidR="00045376" w:rsidRPr="00290165" w:rsidRDefault="00045376" w:rsidP="00045376">
      <w:pPr>
        <w:spacing w:after="120" w:line="250" w:lineRule="auto"/>
        <w:ind w:right="9" w:hanging="10"/>
        <w:jc w:val="both"/>
        <w:rPr>
          <w:rFonts w:cstheme="minorHAnsi"/>
        </w:rPr>
      </w:pPr>
      <w:r w:rsidRPr="00290165">
        <w:rPr>
          <w:rFonts w:cstheme="minorHAnsi"/>
        </w:rPr>
        <w:t xml:space="preserve">Where a student application for refund is submitted, all records of the refund application and associated actions are maintained in the student file. This includes a remittance advice identifying </w:t>
      </w:r>
      <w:proofErr w:type="gramStart"/>
      <w:r w:rsidRPr="00290165">
        <w:rPr>
          <w:rFonts w:cstheme="minorHAnsi"/>
        </w:rPr>
        <w:t>that refunds</w:t>
      </w:r>
      <w:proofErr w:type="gramEnd"/>
      <w:r w:rsidRPr="00290165">
        <w:rPr>
          <w:rFonts w:cstheme="minorHAnsi"/>
        </w:rPr>
        <w:t xml:space="preserve"> have been paid and any correspondence relating to the refund application. </w:t>
      </w:r>
    </w:p>
    <w:p w14:paraId="1CF1A145" w14:textId="3083B63D" w:rsidR="00045376" w:rsidRPr="00290165" w:rsidRDefault="00045376" w:rsidP="00045376">
      <w:pPr>
        <w:spacing w:after="120" w:line="250" w:lineRule="auto"/>
        <w:ind w:right="9" w:hanging="10"/>
        <w:jc w:val="both"/>
        <w:rPr>
          <w:rFonts w:cstheme="minorHAnsi"/>
        </w:rPr>
      </w:pPr>
      <w:r w:rsidRPr="00290165">
        <w:rPr>
          <w:rFonts w:cstheme="minorHAnsi"/>
        </w:rPr>
        <w:t xml:space="preserve">Any information that the client provides </w:t>
      </w:r>
      <w:r w:rsidR="00532F4F">
        <w:rPr>
          <w:rFonts w:cstheme="minorHAnsi"/>
        </w:rPr>
        <w:t>GET Education Australia</w:t>
      </w:r>
      <w:r w:rsidRPr="00290165">
        <w:rPr>
          <w:rFonts w:cstheme="minorHAnsi"/>
        </w:rPr>
        <w:t xml:space="preserve"> or that </w:t>
      </w:r>
      <w:r w:rsidR="00532F4F">
        <w:rPr>
          <w:rFonts w:cstheme="minorHAnsi"/>
        </w:rPr>
        <w:t>GET Education Australia</w:t>
      </w:r>
      <w:r w:rsidRPr="00290165">
        <w:rPr>
          <w:rFonts w:cstheme="minorHAnsi"/>
        </w:rPr>
        <w:t xml:space="preserve"> collects about the client (including payments and refunds) can be given to authorised State and Commonwealth Agencies such as the Tuition Protection Service. </w:t>
      </w:r>
    </w:p>
    <w:p w14:paraId="7CC4A00A" w14:textId="550D1798" w:rsidR="00045376" w:rsidRPr="00290165" w:rsidRDefault="00045376" w:rsidP="00045376">
      <w:pPr>
        <w:spacing w:before="120" w:after="120"/>
        <w:jc w:val="both"/>
        <w:rPr>
          <w:rFonts w:cstheme="minorHAnsi"/>
        </w:rPr>
      </w:pPr>
      <w:r w:rsidRPr="00290165">
        <w:rPr>
          <w:rFonts w:cstheme="minorHAnsi"/>
        </w:rPr>
        <w:t xml:space="preserve">The student must be informed of their right to appeal any decision of this policy in line with </w:t>
      </w:r>
      <w:r w:rsidR="00532F4F">
        <w:rPr>
          <w:rFonts w:cstheme="minorHAnsi"/>
        </w:rPr>
        <w:t>GET Education Australia</w:t>
      </w:r>
      <w:r w:rsidRPr="00290165">
        <w:rPr>
          <w:rFonts w:cstheme="minorHAnsi"/>
        </w:rPr>
        <w:t>’s Policy and Procedure - Complaints and Appeal policy.</w:t>
      </w:r>
    </w:p>
    <w:p w14:paraId="1E3CA6E1" w14:textId="77777777" w:rsidR="00045376" w:rsidRPr="00290165" w:rsidRDefault="00045376" w:rsidP="00045376">
      <w:pPr>
        <w:spacing w:before="120" w:after="120"/>
        <w:jc w:val="both"/>
        <w:rPr>
          <w:rFonts w:eastAsia="Calibri" w:cstheme="majorBidi"/>
          <w:b/>
          <w:color w:val="1F3864" w:themeColor="accent1" w:themeShade="80"/>
          <w:sz w:val="24"/>
          <w:szCs w:val="24"/>
        </w:rPr>
      </w:pPr>
      <w:r w:rsidRPr="00290165">
        <w:rPr>
          <w:rFonts w:eastAsia="Calibri" w:cstheme="majorBidi"/>
          <w:b/>
          <w:color w:val="1F3864" w:themeColor="accent1" w:themeShade="80"/>
          <w:sz w:val="24"/>
          <w:szCs w:val="24"/>
        </w:rPr>
        <w:t>Privacy Policy</w:t>
      </w:r>
    </w:p>
    <w:p w14:paraId="17DADA56" w14:textId="5ACF8121" w:rsidR="00045376" w:rsidRPr="00290165" w:rsidRDefault="00045376" w:rsidP="00045376">
      <w:pPr>
        <w:jc w:val="both"/>
        <w:rPr>
          <w:rFonts w:cstheme="minorHAnsi"/>
        </w:rPr>
      </w:pPr>
      <w:r w:rsidRPr="00290165">
        <w:rPr>
          <w:rFonts w:cstheme="minorHAnsi"/>
        </w:rPr>
        <w:t xml:space="preserve">Information collected about an individual learner or intended applicant in Written Agreement and Acceptance of Offer and during the student enrolment, can be provided by </w:t>
      </w:r>
      <w:r w:rsidR="00532F4F">
        <w:rPr>
          <w:rFonts w:cstheme="minorHAnsi"/>
        </w:rPr>
        <w:t>GET Education Australia</w:t>
      </w:r>
      <w:r w:rsidRPr="00290165">
        <w:rPr>
          <w:rFonts w:cstheme="minorHAnsi"/>
        </w:rPr>
        <w:t xml:space="preserve">, the </w:t>
      </w:r>
      <w:r w:rsidRPr="00290165">
        <w:rPr>
          <w:rFonts w:cstheme="minorHAnsi"/>
        </w:rPr>
        <w:lastRenderedPageBreak/>
        <w:t>Commonwealth including the TPS or state or territory agencies, in certain circumstances, to the Australian Government and designated authorities; in accordance with the Privacy Act 1988. In other instances, information collected on this form or during your enrolment can be disclosed without your consent where authorised or required by law.</w:t>
      </w:r>
    </w:p>
    <w:p w14:paraId="41F6CB7E" w14:textId="54C6097A" w:rsidR="00045376" w:rsidRPr="00290165" w:rsidRDefault="00045376" w:rsidP="00045376">
      <w:pPr>
        <w:pStyle w:val="NormalWeb"/>
        <w:shd w:val="clear" w:color="auto" w:fill="FFFFFF"/>
        <w:spacing w:before="240" w:beforeAutospacing="0" w:after="240" w:afterAutospacing="0"/>
        <w:jc w:val="both"/>
        <w:rPr>
          <w:rFonts w:asciiTheme="minorHAnsi" w:eastAsiaTheme="minorEastAsia" w:hAnsiTheme="minorHAnsi" w:cstheme="minorHAnsi"/>
          <w:sz w:val="22"/>
          <w:szCs w:val="22"/>
          <w:lang w:eastAsia="en-US"/>
        </w:rPr>
      </w:pPr>
      <w:r w:rsidRPr="00290165">
        <w:rPr>
          <w:rFonts w:asciiTheme="minorHAnsi" w:eastAsiaTheme="minorEastAsia" w:hAnsiTheme="minorHAnsi" w:cstheme="minorHAnsi"/>
          <w:sz w:val="22"/>
          <w:szCs w:val="22"/>
          <w:lang w:eastAsia="en-US"/>
        </w:rPr>
        <w:t>Under the Data Provision Requirements 2012, </w:t>
      </w:r>
      <w:r w:rsidR="00532F4F">
        <w:rPr>
          <w:rFonts w:asciiTheme="minorHAnsi" w:eastAsiaTheme="minorEastAsia" w:hAnsiTheme="minorHAnsi" w:cstheme="minorHAnsi"/>
          <w:sz w:val="22"/>
          <w:szCs w:val="22"/>
          <w:lang w:eastAsia="en-US"/>
        </w:rPr>
        <w:t>GET Education Australia</w:t>
      </w:r>
      <w:r w:rsidRPr="00290165">
        <w:rPr>
          <w:rFonts w:asciiTheme="minorHAnsi" w:eastAsiaTheme="minorEastAsia" w:hAnsiTheme="minorHAnsi" w:cstheme="minorHAnsi"/>
          <w:sz w:val="22"/>
          <w:szCs w:val="22"/>
          <w:lang w:eastAsia="en-US"/>
        </w:rPr>
        <w:t> is required to collect personal information about any individual learner or intended applicant and to disclose that personal information to the National Centre for Vocational Education Research Ltd (NCVER).</w:t>
      </w:r>
    </w:p>
    <w:p w14:paraId="33E967BB" w14:textId="3A33CDED" w:rsidR="00045376" w:rsidRPr="00290165" w:rsidRDefault="00045376" w:rsidP="00045376">
      <w:pPr>
        <w:pStyle w:val="NormalWeb"/>
        <w:shd w:val="clear" w:color="auto" w:fill="FFFFFF"/>
        <w:spacing w:before="240" w:beforeAutospacing="0" w:after="240" w:afterAutospacing="0"/>
        <w:jc w:val="both"/>
        <w:rPr>
          <w:rFonts w:asciiTheme="minorHAnsi" w:eastAsiaTheme="minorEastAsia" w:hAnsiTheme="minorHAnsi" w:cstheme="minorHAnsi"/>
          <w:sz w:val="22"/>
          <w:szCs w:val="22"/>
          <w:lang w:eastAsia="en-US"/>
        </w:rPr>
      </w:pPr>
      <w:r w:rsidRPr="00290165">
        <w:rPr>
          <w:rFonts w:asciiTheme="minorHAnsi" w:eastAsiaTheme="minorEastAsia" w:hAnsiTheme="minorHAnsi" w:cstheme="minorHAnsi"/>
          <w:sz w:val="22"/>
          <w:szCs w:val="22"/>
          <w:lang w:eastAsia="en-US"/>
        </w:rPr>
        <w:t xml:space="preserve">Learner’s personal information (including the personal information contained in Written Agreement and Acceptance of Offer and </w:t>
      </w:r>
      <w:proofErr w:type="gramStart"/>
      <w:r w:rsidRPr="00290165">
        <w:rPr>
          <w:rFonts w:asciiTheme="minorHAnsi" w:eastAsiaTheme="minorEastAsia" w:hAnsiTheme="minorHAnsi" w:cstheme="minorHAnsi"/>
          <w:sz w:val="22"/>
          <w:szCs w:val="22"/>
          <w:lang w:eastAsia="en-US"/>
        </w:rPr>
        <w:t>during the course of</w:t>
      </w:r>
      <w:proofErr w:type="gramEnd"/>
      <w:r w:rsidRPr="00290165">
        <w:rPr>
          <w:rFonts w:asciiTheme="minorHAnsi" w:eastAsiaTheme="minorEastAsia" w:hAnsiTheme="minorHAnsi" w:cstheme="minorHAnsi"/>
          <w:sz w:val="22"/>
          <w:szCs w:val="22"/>
          <w:lang w:eastAsia="en-US"/>
        </w:rPr>
        <w:t xml:space="preserve"> their study), may be used or disclosed by </w:t>
      </w:r>
      <w:r w:rsidR="00532F4F">
        <w:rPr>
          <w:rFonts w:asciiTheme="minorHAnsi" w:eastAsiaTheme="minorEastAsia" w:hAnsiTheme="minorHAnsi" w:cstheme="minorHAnsi"/>
          <w:sz w:val="22"/>
          <w:szCs w:val="22"/>
          <w:lang w:eastAsia="en-US"/>
        </w:rPr>
        <w:t>GET Education Australia</w:t>
      </w:r>
      <w:r w:rsidRPr="00290165">
        <w:rPr>
          <w:rFonts w:asciiTheme="minorHAnsi" w:eastAsiaTheme="minorEastAsia" w:hAnsiTheme="minorHAnsi" w:cstheme="minorHAnsi"/>
          <w:sz w:val="22"/>
          <w:szCs w:val="22"/>
          <w:lang w:eastAsia="en-US"/>
        </w:rPr>
        <w:t xml:space="preserve"> for statistical, administrative, regulatory and research purposes. </w:t>
      </w:r>
      <w:r w:rsidR="00532F4F">
        <w:rPr>
          <w:rFonts w:asciiTheme="minorHAnsi" w:eastAsiaTheme="minorEastAsia" w:hAnsiTheme="minorHAnsi" w:cstheme="minorHAnsi"/>
          <w:sz w:val="22"/>
          <w:szCs w:val="22"/>
          <w:lang w:eastAsia="en-US"/>
        </w:rPr>
        <w:t>GET Education Australia</w:t>
      </w:r>
      <w:r w:rsidRPr="00290165">
        <w:rPr>
          <w:rFonts w:asciiTheme="minorHAnsi" w:eastAsiaTheme="minorEastAsia" w:hAnsiTheme="minorHAnsi" w:cstheme="minorHAnsi"/>
          <w:sz w:val="22"/>
          <w:szCs w:val="22"/>
          <w:lang w:eastAsia="en-US"/>
        </w:rPr>
        <w:t> may disclose your personal information for these purposes to:</w:t>
      </w:r>
    </w:p>
    <w:p w14:paraId="1C3D4B4D" w14:textId="77777777" w:rsidR="00045376" w:rsidRPr="00290165" w:rsidRDefault="00045376" w:rsidP="00045376">
      <w:pPr>
        <w:pStyle w:val="ListParagraph"/>
        <w:numPr>
          <w:ilvl w:val="0"/>
          <w:numId w:val="23"/>
        </w:numPr>
        <w:shd w:val="clear" w:color="auto" w:fill="FFFFFF"/>
        <w:spacing w:before="100" w:beforeAutospacing="1" w:after="100" w:afterAutospacing="1" w:line="240" w:lineRule="auto"/>
        <w:ind w:left="567"/>
        <w:contextualSpacing w:val="0"/>
        <w:jc w:val="both"/>
        <w:rPr>
          <w:rFonts w:asciiTheme="minorHAnsi" w:hAnsiTheme="minorHAnsi" w:cstheme="minorHAnsi"/>
        </w:rPr>
      </w:pPr>
      <w:r w:rsidRPr="00290165">
        <w:rPr>
          <w:rFonts w:asciiTheme="minorHAnsi" w:hAnsiTheme="minorHAnsi" w:cstheme="minorHAnsi"/>
        </w:rPr>
        <w:t>Commonwealth and State or Territory government departments and authorised agencies; and</w:t>
      </w:r>
    </w:p>
    <w:p w14:paraId="767E7EB1" w14:textId="77777777" w:rsidR="00045376" w:rsidRPr="00290165" w:rsidRDefault="00045376" w:rsidP="00045376">
      <w:pPr>
        <w:pStyle w:val="ListParagraph"/>
        <w:numPr>
          <w:ilvl w:val="0"/>
          <w:numId w:val="23"/>
        </w:numPr>
        <w:shd w:val="clear" w:color="auto" w:fill="FFFFFF"/>
        <w:spacing w:before="100" w:beforeAutospacing="1" w:after="100" w:afterAutospacing="1" w:line="240" w:lineRule="auto"/>
        <w:ind w:left="567"/>
        <w:contextualSpacing w:val="0"/>
        <w:jc w:val="both"/>
        <w:rPr>
          <w:rFonts w:asciiTheme="minorHAnsi" w:hAnsiTheme="minorHAnsi" w:cstheme="minorHAnsi"/>
        </w:rPr>
      </w:pPr>
      <w:r w:rsidRPr="00290165">
        <w:rPr>
          <w:rFonts w:asciiTheme="minorHAnsi" w:hAnsiTheme="minorHAnsi" w:cstheme="minorHAnsi"/>
        </w:rPr>
        <w:t>NCVER.</w:t>
      </w:r>
    </w:p>
    <w:p w14:paraId="6DCF5591" w14:textId="77777777" w:rsidR="00045376" w:rsidRPr="00290165" w:rsidRDefault="00045376" w:rsidP="00045376">
      <w:pPr>
        <w:pStyle w:val="NormalWeb"/>
        <w:shd w:val="clear" w:color="auto" w:fill="FFFFFF"/>
        <w:spacing w:before="240" w:beforeAutospacing="0" w:after="240" w:afterAutospacing="0"/>
        <w:jc w:val="both"/>
        <w:rPr>
          <w:rFonts w:asciiTheme="minorHAnsi" w:eastAsiaTheme="minorEastAsia" w:hAnsiTheme="minorHAnsi" w:cstheme="minorHAnsi"/>
          <w:sz w:val="22"/>
          <w:szCs w:val="22"/>
          <w:lang w:eastAsia="en-US"/>
        </w:rPr>
      </w:pPr>
      <w:r w:rsidRPr="00290165">
        <w:rPr>
          <w:rFonts w:asciiTheme="minorHAnsi" w:eastAsiaTheme="minorEastAsia" w:hAnsiTheme="minorHAnsi" w:cstheme="minorHAnsi"/>
          <w:sz w:val="22"/>
          <w:szCs w:val="22"/>
          <w:lang w:eastAsia="en-US"/>
        </w:rPr>
        <w:t>Personal information that has been disclosed to NCVER may be used or disclosed by NCVER for the following purposes:</w:t>
      </w:r>
    </w:p>
    <w:p w14:paraId="461292E3" w14:textId="77777777" w:rsidR="00045376" w:rsidRPr="00290165" w:rsidRDefault="00045376" w:rsidP="00045376">
      <w:pPr>
        <w:pStyle w:val="ListParagraph"/>
        <w:numPr>
          <w:ilvl w:val="0"/>
          <w:numId w:val="24"/>
        </w:numPr>
        <w:shd w:val="clear" w:color="auto" w:fill="FFFFFF"/>
        <w:spacing w:before="100" w:beforeAutospacing="1" w:after="100" w:afterAutospacing="1" w:line="240" w:lineRule="auto"/>
        <w:ind w:left="567" w:hanging="567"/>
        <w:contextualSpacing w:val="0"/>
        <w:jc w:val="both"/>
        <w:rPr>
          <w:rFonts w:asciiTheme="minorHAnsi" w:hAnsiTheme="minorHAnsi" w:cstheme="minorHAnsi"/>
        </w:rPr>
      </w:pPr>
      <w:r w:rsidRPr="00290165">
        <w:rPr>
          <w:rFonts w:asciiTheme="minorHAnsi" w:hAnsiTheme="minorHAnsi" w:cstheme="minorHAnsi"/>
        </w:rPr>
        <w:t>Populating authenticated VET </w:t>
      </w:r>
      <w:proofErr w:type="gramStart"/>
      <w:r w:rsidRPr="00290165">
        <w:rPr>
          <w:rFonts w:asciiTheme="minorHAnsi" w:hAnsiTheme="minorHAnsi" w:cstheme="minorHAnsi"/>
        </w:rPr>
        <w:t>transcripts;</w:t>
      </w:r>
      <w:proofErr w:type="gramEnd"/>
    </w:p>
    <w:p w14:paraId="5199E801" w14:textId="77777777" w:rsidR="00045376" w:rsidRPr="00290165" w:rsidRDefault="00045376" w:rsidP="00045376">
      <w:pPr>
        <w:pStyle w:val="ListParagraph"/>
        <w:numPr>
          <w:ilvl w:val="0"/>
          <w:numId w:val="24"/>
        </w:numPr>
        <w:shd w:val="clear" w:color="auto" w:fill="FFFFFF"/>
        <w:spacing w:before="100" w:beforeAutospacing="1" w:after="100" w:afterAutospacing="1" w:line="240" w:lineRule="auto"/>
        <w:ind w:left="567" w:hanging="567"/>
        <w:contextualSpacing w:val="0"/>
        <w:jc w:val="both"/>
        <w:rPr>
          <w:rFonts w:asciiTheme="minorHAnsi" w:hAnsiTheme="minorHAnsi" w:cstheme="minorHAnsi"/>
        </w:rPr>
      </w:pPr>
      <w:r w:rsidRPr="00290165">
        <w:rPr>
          <w:rFonts w:asciiTheme="minorHAnsi" w:hAnsiTheme="minorHAnsi" w:cstheme="minorHAnsi"/>
        </w:rPr>
        <w:t xml:space="preserve">Facilitating statistics and research relating to education, including surveys and data </w:t>
      </w:r>
      <w:proofErr w:type="gramStart"/>
      <w:r w:rsidRPr="00290165">
        <w:rPr>
          <w:rFonts w:asciiTheme="minorHAnsi" w:hAnsiTheme="minorHAnsi" w:cstheme="minorHAnsi"/>
        </w:rPr>
        <w:t>linkage;</w:t>
      </w:r>
      <w:proofErr w:type="gramEnd"/>
    </w:p>
    <w:p w14:paraId="18664A87" w14:textId="77777777" w:rsidR="00045376" w:rsidRPr="00290165" w:rsidRDefault="00045376" w:rsidP="00045376">
      <w:pPr>
        <w:pStyle w:val="ListParagraph"/>
        <w:numPr>
          <w:ilvl w:val="0"/>
          <w:numId w:val="24"/>
        </w:numPr>
        <w:shd w:val="clear" w:color="auto" w:fill="FFFFFF"/>
        <w:spacing w:before="100" w:beforeAutospacing="1" w:after="100" w:afterAutospacing="1" w:line="240" w:lineRule="auto"/>
        <w:ind w:left="567" w:hanging="567"/>
        <w:contextualSpacing w:val="0"/>
        <w:jc w:val="both"/>
        <w:rPr>
          <w:rFonts w:asciiTheme="minorHAnsi" w:hAnsiTheme="minorHAnsi" w:cstheme="minorHAnsi"/>
        </w:rPr>
      </w:pPr>
      <w:r w:rsidRPr="00290165">
        <w:rPr>
          <w:rFonts w:asciiTheme="minorHAnsi" w:hAnsiTheme="minorHAnsi" w:cstheme="minorHAnsi"/>
        </w:rPr>
        <w:t xml:space="preserve">Pre-populating RTO student enrolment </w:t>
      </w:r>
      <w:proofErr w:type="gramStart"/>
      <w:r w:rsidRPr="00290165">
        <w:rPr>
          <w:rFonts w:asciiTheme="minorHAnsi" w:hAnsiTheme="minorHAnsi" w:cstheme="minorHAnsi"/>
        </w:rPr>
        <w:t>forms;</w:t>
      </w:r>
      <w:proofErr w:type="gramEnd"/>
    </w:p>
    <w:p w14:paraId="3354F373" w14:textId="77777777" w:rsidR="00045376" w:rsidRDefault="00045376" w:rsidP="00045376">
      <w:pPr>
        <w:pStyle w:val="ListParagraph"/>
        <w:numPr>
          <w:ilvl w:val="0"/>
          <w:numId w:val="24"/>
        </w:numPr>
        <w:shd w:val="clear" w:color="auto" w:fill="FFFFFF"/>
        <w:spacing w:before="100" w:beforeAutospacing="1" w:after="100" w:afterAutospacing="1" w:line="240" w:lineRule="auto"/>
        <w:ind w:left="567" w:hanging="567"/>
        <w:contextualSpacing w:val="0"/>
        <w:jc w:val="both"/>
        <w:rPr>
          <w:rFonts w:asciiTheme="minorHAnsi" w:hAnsiTheme="minorHAnsi" w:cstheme="minorHAnsi"/>
        </w:rPr>
      </w:pPr>
      <w:r w:rsidRPr="00290165">
        <w:rPr>
          <w:rFonts w:asciiTheme="minorHAnsi" w:hAnsiTheme="minorHAnsi" w:cstheme="minorHAnsi"/>
        </w:rPr>
        <w:t>Understanding how the VET market operates, for policy, workforce planning and consumer information; and</w:t>
      </w:r>
    </w:p>
    <w:p w14:paraId="00DC4198" w14:textId="4F3B5C68" w:rsidR="00045376" w:rsidRPr="00045376" w:rsidRDefault="00045376" w:rsidP="00045376">
      <w:pPr>
        <w:pStyle w:val="ListParagraph"/>
        <w:numPr>
          <w:ilvl w:val="0"/>
          <w:numId w:val="24"/>
        </w:numPr>
        <w:shd w:val="clear" w:color="auto" w:fill="FFFFFF"/>
        <w:spacing w:before="100" w:beforeAutospacing="1" w:after="100" w:afterAutospacing="1" w:line="240" w:lineRule="auto"/>
        <w:ind w:left="567" w:hanging="567"/>
        <w:contextualSpacing w:val="0"/>
        <w:jc w:val="both"/>
        <w:rPr>
          <w:rFonts w:asciiTheme="minorHAnsi" w:hAnsiTheme="minorHAnsi" w:cstheme="minorHAnsi"/>
        </w:rPr>
      </w:pPr>
      <w:r w:rsidRPr="00045376">
        <w:rPr>
          <w:rFonts w:cstheme="minorHAnsi"/>
        </w:rPr>
        <w:t xml:space="preserve">Administering VET, including program administration, regulation, </w:t>
      </w:r>
      <w:proofErr w:type="gramStart"/>
      <w:r w:rsidRPr="00045376">
        <w:rPr>
          <w:rFonts w:cstheme="minorHAnsi"/>
        </w:rPr>
        <w:t>monitoring</w:t>
      </w:r>
      <w:proofErr w:type="gramEnd"/>
      <w:r w:rsidRPr="00045376">
        <w:rPr>
          <w:rFonts w:cstheme="minorHAnsi"/>
        </w:rPr>
        <w:t xml:space="preserve"> and evaluation.</w:t>
      </w:r>
    </w:p>
    <w:p w14:paraId="4F627009" w14:textId="11AEFAE8" w:rsidR="00713EA4" w:rsidRPr="00713EA4" w:rsidRDefault="00713EA4" w:rsidP="00045376">
      <w:pPr>
        <w:shd w:val="clear" w:color="auto" w:fill="FFFFFF"/>
        <w:spacing w:line="0" w:lineRule="atLeast"/>
        <w:jc w:val="both"/>
        <w:rPr>
          <w:b/>
          <w:bCs/>
        </w:rPr>
      </w:pPr>
      <w:r w:rsidRPr="00713EA4">
        <w:rPr>
          <w:b/>
          <w:bCs/>
        </w:rPr>
        <w:t>Further Information</w:t>
      </w:r>
    </w:p>
    <w:p w14:paraId="2808FF97" w14:textId="578FF729" w:rsidR="00045376" w:rsidRDefault="00A21D00" w:rsidP="00372ED8">
      <w:pPr>
        <w:widowControl w:val="0"/>
        <w:autoSpaceDE w:val="0"/>
        <w:autoSpaceDN w:val="0"/>
        <w:adjustRightInd w:val="0"/>
        <w:spacing w:line="0" w:lineRule="atLeast"/>
        <w:jc w:val="both"/>
      </w:pPr>
      <w:r>
        <w:t xml:space="preserve">For all further details, please refer to International Student Handbook on for all related policies and procedures (policies and procedures also available on </w:t>
      </w:r>
      <w:hyperlink r:id="rId10" w:history="1">
        <w:r w:rsidR="00402E02" w:rsidRPr="00141408">
          <w:rPr>
            <w:rStyle w:val="Hyperlink"/>
          </w:rPr>
          <w:t>www.get.edu.au</w:t>
        </w:r>
      </w:hyperlink>
      <w:r>
        <w:t xml:space="preserve">) and other important information related to international students including Covid-19, living cost, </w:t>
      </w:r>
      <w:proofErr w:type="gramStart"/>
      <w:r>
        <w:t>life</w:t>
      </w:r>
      <w:proofErr w:type="gramEnd"/>
      <w:r>
        <w:t xml:space="preserve"> and study in Melbourne, etc</w:t>
      </w:r>
      <w:r w:rsidR="00045376">
        <w:t xml:space="preserve">. </w:t>
      </w:r>
    </w:p>
    <w:p w14:paraId="786C1EE1" w14:textId="2118E609" w:rsidR="00BD61F7" w:rsidRDefault="00045376" w:rsidP="00D448D7">
      <w:pPr>
        <w:widowControl w:val="0"/>
        <w:autoSpaceDE w:val="0"/>
        <w:autoSpaceDN w:val="0"/>
        <w:adjustRightInd w:val="0"/>
        <w:spacing w:line="0" w:lineRule="atLeast"/>
        <w:jc w:val="both"/>
      </w:pPr>
      <w:r>
        <w:t>Please c</w:t>
      </w:r>
      <w:r w:rsidR="00713EA4" w:rsidRPr="00713EA4">
        <w:t xml:space="preserve">ontact the </w:t>
      </w:r>
      <w:r w:rsidR="000013EE">
        <w:t>Administration</w:t>
      </w:r>
      <w:r w:rsidR="00713EA4">
        <w:t xml:space="preserve"> Manager </w:t>
      </w:r>
      <w:r w:rsidR="00713EA4" w:rsidRPr="00713EA4">
        <w:t xml:space="preserve">at </w:t>
      </w:r>
      <w:hyperlink r:id="rId11" w:history="1">
        <w:r w:rsidR="00402E02" w:rsidRPr="00141408">
          <w:rPr>
            <w:rStyle w:val="Hyperlink"/>
          </w:rPr>
          <w:t>admin@get.edu.au</w:t>
        </w:r>
      </w:hyperlink>
      <w:r w:rsidR="00402E02">
        <w:t xml:space="preserve"> </w:t>
      </w:r>
      <w:r w:rsidR="00713EA4" w:rsidRPr="00713EA4">
        <w:t xml:space="preserve">or </w:t>
      </w:r>
      <w:r>
        <w:t xml:space="preserve">at </w:t>
      </w:r>
      <w:r w:rsidR="00713EA4">
        <w:t xml:space="preserve">+61 </w:t>
      </w:r>
      <w:r w:rsidR="00936BB8">
        <w:t>(</w:t>
      </w:r>
      <w:r w:rsidR="001802F4">
        <w:t>0</w:t>
      </w:r>
      <w:r w:rsidR="00936BB8">
        <w:t xml:space="preserve">) </w:t>
      </w:r>
      <w:r w:rsidR="00402E02">
        <w:t>421 386 318</w:t>
      </w:r>
      <w:r w:rsidR="00713EA4" w:rsidRPr="00713EA4">
        <w:t xml:space="preserve"> for further information.</w:t>
      </w:r>
      <w:bookmarkEnd w:id="3"/>
    </w:p>
    <w:sectPr w:rsidR="00BD61F7" w:rsidSect="00ED558C">
      <w:headerReference w:type="default" r:id="rId12"/>
      <w:footerReference w:type="default" r:id="rId13"/>
      <w:pgSz w:w="11906" w:h="16838"/>
      <w:pgMar w:top="1440" w:right="1274" w:bottom="1440" w:left="1440" w:header="454"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C06CB" w14:textId="77777777" w:rsidR="00A75406" w:rsidRDefault="00A75406" w:rsidP="00D1645D">
      <w:pPr>
        <w:spacing w:after="0" w:line="240" w:lineRule="auto"/>
      </w:pPr>
      <w:r>
        <w:separator/>
      </w:r>
    </w:p>
  </w:endnote>
  <w:endnote w:type="continuationSeparator" w:id="0">
    <w:p w14:paraId="4C2648E8" w14:textId="77777777" w:rsidR="00A75406" w:rsidRDefault="00A75406" w:rsidP="00D16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OpenSansLight">
    <w:altName w:val="Cambria"/>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B9BE0" w14:textId="5911435A" w:rsidR="006B130F" w:rsidRDefault="006B130F" w:rsidP="006B130F">
    <w:pPr>
      <w:tabs>
        <w:tab w:val="center" w:pos="4513"/>
        <w:tab w:val="right" w:pos="9026"/>
      </w:tabs>
      <w:spacing w:after="0" w:line="240" w:lineRule="auto"/>
      <w:rPr>
        <w:rFonts w:cs="Calibri"/>
        <w:sz w:val="16"/>
        <w:szCs w:val="18"/>
      </w:rPr>
    </w:pPr>
    <w:r>
      <w:rPr>
        <w:rFonts w:cs="Calibri"/>
        <w:sz w:val="16"/>
        <w:szCs w:val="18"/>
      </w:rPr>
      <w:t xml:space="preserve">Workplace Health and Safety Services Pty Ltd t/a GET Education Australia |RTO No. 31401 l CRICOS Code: </w:t>
    </w:r>
    <w:r w:rsidR="00ED558C">
      <w:rPr>
        <w:rFonts w:cs="Calibri"/>
        <w:sz w:val="16"/>
        <w:szCs w:val="18"/>
      </w:rPr>
      <w:t>03990K</w:t>
    </w:r>
    <w:r>
      <w:rPr>
        <w:rFonts w:cs="Calibri"/>
        <w:sz w:val="16"/>
        <w:szCs w:val="18"/>
      </w:rPr>
      <w:t xml:space="preserve"> I Website: </w:t>
    </w:r>
    <w:hyperlink r:id="rId1" w:history="1">
      <w:r>
        <w:rPr>
          <w:rStyle w:val="Hyperlink"/>
          <w:rFonts w:cs="Calibri"/>
          <w:sz w:val="16"/>
          <w:szCs w:val="18"/>
        </w:rPr>
        <w:t>www.get.edu.au</w:t>
      </w:r>
    </w:hyperlink>
  </w:p>
  <w:p w14:paraId="13D7A157" w14:textId="77777777" w:rsidR="006B130F" w:rsidRDefault="006B130F" w:rsidP="006B130F">
    <w:pPr>
      <w:tabs>
        <w:tab w:val="center" w:pos="4513"/>
        <w:tab w:val="right" w:pos="9026"/>
      </w:tabs>
      <w:spacing w:after="0" w:line="240" w:lineRule="auto"/>
      <w:rPr>
        <w:rFonts w:cs="Calibri"/>
        <w:sz w:val="16"/>
        <w:szCs w:val="18"/>
      </w:rPr>
    </w:pPr>
    <w:r>
      <w:rPr>
        <w:rFonts w:cs="Calibri"/>
        <w:sz w:val="16"/>
        <w:szCs w:val="18"/>
      </w:rPr>
      <w:t xml:space="preserve">Level 4, 180 Bourke Street, Melbourne VIC 3000 Australia |Phone: 0421 386 318 |Email: </w:t>
    </w:r>
    <w:hyperlink r:id="rId2" w:history="1">
      <w:r>
        <w:rPr>
          <w:rStyle w:val="Hyperlink"/>
          <w:rFonts w:cs="Calibri"/>
          <w:sz w:val="16"/>
        </w:rPr>
        <w:t>admin@get.</w:t>
      </w:r>
    </w:hyperlink>
    <w:r>
      <w:rPr>
        <w:rStyle w:val="Hyperlink"/>
        <w:rFonts w:cs="Calibri"/>
        <w:sz w:val="16"/>
      </w:rPr>
      <w:t>edu.au</w:t>
    </w:r>
    <w:r>
      <w:rPr>
        <w:rFonts w:cs="Calibri"/>
        <w:sz w:val="16"/>
        <w:szCs w:val="18"/>
      </w:rPr>
      <w:t xml:space="preserve">   </w:t>
    </w:r>
  </w:p>
  <w:p w14:paraId="607DA9D7" w14:textId="2C6B347D" w:rsidR="00384282" w:rsidRPr="006B130F" w:rsidRDefault="006B130F" w:rsidP="006B130F">
    <w:pPr>
      <w:tabs>
        <w:tab w:val="center" w:pos="4513"/>
        <w:tab w:val="right" w:pos="9026"/>
      </w:tabs>
      <w:spacing w:after="0" w:line="240" w:lineRule="auto"/>
      <w:rPr>
        <w:rFonts w:ascii="Tahoma" w:hAnsi="Tahoma" w:cs="Times New Roman"/>
        <w:sz w:val="18"/>
        <w:szCs w:val="18"/>
      </w:rPr>
    </w:pPr>
    <w:r>
      <w:rPr>
        <w:rFonts w:cs="Calibri"/>
        <w:sz w:val="16"/>
        <w:szCs w:val="18"/>
      </w:rPr>
      <w:fldChar w:fldCharType="begin"/>
    </w:r>
    <w:r>
      <w:rPr>
        <w:rFonts w:cs="Calibri"/>
        <w:sz w:val="16"/>
        <w:szCs w:val="18"/>
      </w:rPr>
      <w:instrText xml:space="preserve"> FILENAME \* MERGEFORMAT </w:instrText>
    </w:r>
    <w:r>
      <w:rPr>
        <w:rFonts w:cs="Calibri"/>
        <w:sz w:val="16"/>
        <w:szCs w:val="18"/>
      </w:rPr>
      <w:fldChar w:fldCharType="separate"/>
    </w:r>
    <w:r w:rsidR="00490A51">
      <w:rPr>
        <w:rFonts w:cs="Calibri"/>
        <w:noProof/>
        <w:sz w:val="16"/>
        <w:szCs w:val="18"/>
      </w:rPr>
      <w:t>Marketing - CPC50220 Diploma of Building and Construction (Building)</w:t>
    </w:r>
    <w:r>
      <w:rPr>
        <w:rFonts w:cs="Calibri"/>
        <w:sz w:val="16"/>
        <w:szCs w:val="18"/>
      </w:rPr>
      <w:fldChar w:fldCharType="end"/>
    </w:r>
    <w:r>
      <w:rPr>
        <w:rFonts w:cs="Calibri"/>
        <w:sz w:val="16"/>
        <w:szCs w:val="18"/>
      </w:rPr>
      <w:t xml:space="preserve"> |</w:t>
    </w:r>
    <w:r w:rsidR="00260084">
      <w:rPr>
        <w:rFonts w:cs="Calibri"/>
        <w:sz w:val="16"/>
        <w:szCs w:val="18"/>
      </w:rPr>
      <w:t xml:space="preserve"> V1.0 |</w:t>
    </w:r>
    <w:r>
      <w:rPr>
        <w:rFonts w:cs="Calibri"/>
        <w:sz w:val="16"/>
        <w:szCs w:val="18"/>
      </w:rPr>
      <w:t xml:space="preserve"> Last reviewed: </w:t>
    </w:r>
    <w:r w:rsidR="00260084">
      <w:rPr>
        <w:rFonts w:cs="Calibri"/>
        <w:sz w:val="16"/>
        <w:szCs w:val="18"/>
      </w:rPr>
      <w:t>September</w:t>
    </w:r>
    <w:r>
      <w:rPr>
        <w:rFonts w:cs="Calibri"/>
        <w:sz w:val="16"/>
        <w:szCs w:val="18"/>
      </w:rPr>
      <w:t xml:space="preserve"> 2021 </w:t>
    </w:r>
    <w:bookmarkStart w:id="5" w:name="_Hlk501374523"/>
    <w:r>
      <w:rPr>
        <w:rFonts w:cs="Calibri"/>
        <w:sz w:val="16"/>
        <w:szCs w:val="18"/>
      </w:rPr>
      <w:t>|</w:t>
    </w:r>
    <w:bookmarkEnd w:id="5"/>
    <w:r>
      <w:rPr>
        <w:sz w:val="16"/>
        <w:szCs w:val="18"/>
      </w:rPr>
      <w:t xml:space="preserve"> </w:t>
    </w:r>
    <w:r>
      <w:rPr>
        <w:rFonts w:cs="Calibri"/>
        <w:sz w:val="16"/>
        <w:szCs w:val="18"/>
      </w:rPr>
      <w:t>Not controlled when printed</w:t>
    </w:r>
    <w:r>
      <w:rPr>
        <w:sz w:val="16"/>
        <w:szCs w:val="18"/>
      </w:rPr>
      <w:t xml:space="preserve"> </w:t>
    </w:r>
    <w:r>
      <w:rPr>
        <w:rFonts w:cs="Calibri"/>
        <w:sz w:val="16"/>
        <w:szCs w:val="18"/>
      </w:rPr>
      <w:t xml:space="preserve">|Page </w:t>
    </w:r>
    <w:r>
      <w:rPr>
        <w:rFonts w:cs="Calibri"/>
        <w:sz w:val="16"/>
        <w:szCs w:val="18"/>
      </w:rPr>
      <w:fldChar w:fldCharType="begin"/>
    </w:r>
    <w:r>
      <w:rPr>
        <w:rFonts w:cs="Calibri"/>
        <w:sz w:val="16"/>
        <w:szCs w:val="18"/>
      </w:rPr>
      <w:instrText xml:space="preserve"> PAGE </w:instrText>
    </w:r>
    <w:r>
      <w:rPr>
        <w:rFonts w:cs="Calibri"/>
        <w:sz w:val="16"/>
        <w:szCs w:val="18"/>
      </w:rPr>
      <w:fldChar w:fldCharType="separate"/>
    </w:r>
    <w:r>
      <w:rPr>
        <w:rFonts w:cs="Calibri"/>
        <w:sz w:val="16"/>
        <w:szCs w:val="18"/>
      </w:rPr>
      <w:t>1</w:t>
    </w:r>
    <w:r>
      <w:rPr>
        <w:rFonts w:cs="Calibri"/>
        <w:sz w:val="16"/>
        <w:szCs w:val="18"/>
      </w:rPr>
      <w:fldChar w:fldCharType="end"/>
    </w:r>
    <w:r>
      <w:rPr>
        <w:rFonts w:cs="Calibri"/>
        <w:sz w:val="16"/>
        <w:szCs w:val="18"/>
      </w:rPr>
      <w:t xml:space="preserve"> of </w:t>
    </w:r>
    <w:r>
      <w:rPr>
        <w:rFonts w:cs="Calibri"/>
        <w:sz w:val="16"/>
        <w:szCs w:val="18"/>
      </w:rPr>
      <w:fldChar w:fldCharType="begin"/>
    </w:r>
    <w:r>
      <w:rPr>
        <w:rFonts w:cs="Calibri"/>
        <w:sz w:val="16"/>
        <w:szCs w:val="18"/>
      </w:rPr>
      <w:instrText xml:space="preserve"> NUMPAGES  </w:instrText>
    </w:r>
    <w:r>
      <w:rPr>
        <w:rFonts w:cs="Calibri"/>
        <w:sz w:val="16"/>
        <w:szCs w:val="18"/>
      </w:rPr>
      <w:fldChar w:fldCharType="separate"/>
    </w:r>
    <w:r>
      <w:rPr>
        <w:rFonts w:cs="Calibri"/>
        <w:sz w:val="16"/>
        <w:szCs w:val="18"/>
      </w:rPr>
      <w:t>18</w:t>
    </w:r>
    <w:r>
      <w:rPr>
        <w:rFonts w:cs="Calibri"/>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E4C4B" w14:textId="77777777" w:rsidR="00A75406" w:rsidRDefault="00A75406" w:rsidP="00D1645D">
      <w:pPr>
        <w:spacing w:after="0" w:line="240" w:lineRule="auto"/>
      </w:pPr>
      <w:r>
        <w:separator/>
      </w:r>
    </w:p>
  </w:footnote>
  <w:footnote w:type="continuationSeparator" w:id="0">
    <w:p w14:paraId="0E429EDD" w14:textId="77777777" w:rsidR="00A75406" w:rsidRDefault="00A75406" w:rsidP="00D16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6A694" w14:textId="19923301" w:rsidR="00384282" w:rsidRPr="006B130F" w:rsidRDefault="006B130F" w:rsidP="006B130F">
    <w:pPr>
      <w:pStyle w:val="Header"/>
    </w:pPr>
    <w:r>
      <w:rPr>
        <w:noProof/>
      </w:rPr>
      <w:drawing>
        <wp:inline distT="0" distB="0" distL="0" distR="0" wp14:anchorId="11FD1CFE" wp14:editId="5FAFA9CF">
          <wp:extent cx="1684020" cy="7518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020" cy="751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79E2"/>
    <w:multiLevelType w:val="hybridMultilevel"/>
    <w:tmpl w:val="53F8E6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71BE9"/>
    <w:multiLevelType w:val="hybridMultilevel"/>
    <w:tmpl w:val="D7404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D62050"/>
    <w:multiLevelType w:val="hybridMultilevel"/>
    <w:tmpl w:val="C554B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A92858"/>
    <w:multiLevelType w:val="hybridMultilevel"/>
    <w:tmpl w:val="EA8A3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55447E"/>
    <w:multiLevelType w:val="hybridMultilevel"/>
    <w:tmpl w:val="AD74ED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2F93B57"/>
    <w:multiLevelType w:val="hybridMultilevel"/>
    <w:tmpl w:val="71765F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7A0277D"/>
    <w:multiLevelType w:val="hybridMultilevel"/>
    <w:tmpl w:val="2626D8D4"/>
    <w:lvl w:ilvl="0" w:tplc="B3183616">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8C64269"/>
    <w:multiLevelType w:val="hybridMultilevel"/>
    <w:tmpl w:val="FBB4C546"/>
    <w:lvl w:ilvl="0" w:tplc="82961C50">
      <w:start w:val="1"/>
      <w:numFmt w:val="bullet"/>
      <w:pStyle w:val="QMSEndofDoc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AEE02D5"/>
    <w:multiLevelType w:val="hybridMultilevel"/>
    <w:tmpl w:val="85628AEE"/>
    <w:lvl w:ilvl="0" w:tplc="B3183616">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DD54EF1"/>
    <w:multiLevelType w:val="hybridMultilevel"/>
    <w:tmpl w:val="950A31DC"/>
    <w:lvl w:ilvl="0" w:tplc="0409000F">
      <w:start w:val="1"/>
      <w:numFmt w:val="decimal"/>
      <w:lvlText w:val="%1."/>
      <w:lvlJc w:val="left"/>
      <w:pPr>
        <w:ind w:left="1364"/>
      </w:pPr>
      <w:rPr>
        <w:b w:val="0"/>
        <w:i w:val="0"/>
        <w:strike w:val="0"/>
        <w:dstrike w:val="0"/>
        <w:color w:val="000000"/>
        <w:sz w:val="20"/>
        <w:szCs w:val="20"/>
        <w:u w:val="none" w:color="000000"/>
        <w:bdr w:val="none" w:sz="0" w:space="0" w:color="auto"/>
        <w:shd w:val="clear" w:color="auto" w:fill="auto"/>
        <w:vertAlign w:val="baseline"/>
      </w:rPr>
    </w:lvl>
    <w:lvl w:ilvl="1" w:tplc="0FE8756C">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FE881EE">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750E05E">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F05354">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59CC1EE">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CFE0CD6">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6062DC">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529F4A">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0750ACB"/>
    <w:multiLevelType w:val="multilevel"/>
    <w:tmpl w:val="83CE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2123CF"/>
    <w:multiLevelType w:val="hybridMultilevel"/>
    <w:tmpl w:val="C818D360"/>
    <w:lvl w:ilvl="0" w:tplc="ACEA1CEC">
      <w:start w:val="1"/>
      <w:numFmt w:val="bullet"/>
      <w:lvlText w:val="•"/>
      <w:lvlJc w:val="left"/>
      <w:pPr>
        <w:ind w:left="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E64792">
      <w:start w:val="1"/>
      <w:numFmt w:val="bullet"/>
      <w:lvlText w:val="o"/>
      <w:lvlJc w:val="left"/>
      <w:pPr>
        <w:ind w:left="14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4127DAC">
      <w:start w:val="1"/>
      <w:numFmt w:val="bullet"/>
      <w:lvlText w:val="▪"/>
      <w:lvlJc w:val="left"/>
      <w:pPr>
        <w:ind w:left="21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ED8ACAE">
      <w:start w:val="1"/>
      <w:numFmt w:val="bullet"/>
      <w:lvlText w:val="•"/>
      <w:lvlJc w:val="left"/>
      <w:pPr>
        <w:ind w:left="28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0C6B02">
      <w:start w:val="1"/>
      <w:numFmt w:val="bullet"/>
      <w:lvlText w:val="o"/>
      <w:lvlJc w:val="left"/>
      <w:pPr>
        <w:ind w:left="36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B5E59E0">
      <w:start w:val="1"/>
      <w:numFmt w:val="bullet"/>
      <w:lvlText w:val="▪"/>
      <w:lvlJc w:val="left"/>
      <w:pPr>
        <w:ind w:left="43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C3EDC88">
      <w:start w:val="1"/>
      <w:numFmt w:val="bullet"/>
      <w:lvlText w:val="•"/>
      <w:lvlJc w:val="left"/>
      <w:pPr>
        <w:ind w:left="50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C4C7AC">
      <w:start w:val="1"/>
      <w:numFmt w:val="bullet"/>
      <w:lvlText w:val="o"/>
      <w:lvlJc w:val="left"/>
      <w:pPr>
        <w:ind w:left="57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9081900">
      <w:start w:val="1"/>
      <w:numFmt w:val="bullet"/>
      <w:lvlText w:val="▪"/>
      <w:lvlJc w:val="left"/>
      <w:pPr>
        <w:ind w:left="64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2783558"/>
    <w:multiLevelType w:val="hybridMultilevel"/>
    <w:tmpl w:val="5A468638"/>
    <w:lvl w:ilvl="0" w:tplc="B5FAD5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5A6A5E"/>
    <w:multiLevelType w:val="multilevel"/>
    <w:tmpl w:val="8BB414F2"/>
    <w:styleLink w:val="BodyTextBullets"/>
    <w:lvl w:ilvl="0">
      <w:start w:val="1"/>
      <w:numFmt w:val="bullet"/>
      <w:pStyle w:val="RTOWorksBullet1"/>
      <w:lvlText w:val=""/>
      <w:lvlJc w:val="left"/>
      <w:pPr>
        <w:ind w:left="425" w:hanging="425"/>
      </w:pPr>
      <w:rPr>
        <w:rFonts w:ascii="Symbol" w:hAnsi="Symbol" w:hint="default"/>
      </w:rPr>
    </w:lvl>
    <w:lvl w:ilvl="1">
      <w:start w:val="1"/>
      <w:numFmt w:val="bullet"/>
      <w:pStyle w:val="RTOWorksBullet2"/>
      <w:lvlText w:val="o"/>
      <w:lvlJc w:val="left"/>
      <w:pPr>
        <w:ind w:left="850" w:hanging="425"/>
      </w:pPr>
      <w:rPr>
        <w:rFonts w:ascii="Courier New" w:hAnsi="Courier New" w:hint="default"/>
      </w:rPr>
    </w:lvl>
    <w:lvl w:ilvl="2">
      <w:start w:val="1"/>
      <w:numFmt w:val="bullet"/>
      <w:pStyle w:val="RTOWorksBullet3"/>
      <w:lvlText w:val=""/>
      <w:lvlJc w:val="left"/>
      <w:pPr>
        <w:ind w:left="1275" w:hanging="425"/>
      </w:pPr>
      <w:rPr>
        <w:rFonts w:ascii="Symbol" w:hAnsi="Symbol" w:hint="default"/>
      </w:rPr>
    </w:lvl>
    <w:lvl w:ilvl="3">
      <w:start w:val="1"/>
      <w:numFmt w:val="bullet"/>
      <w:lvlText w:val=""/>
      <w:lvlJc w:val="left"/>
      <w:pPr>
        <w:tabs>
          <w:tab w:val="num" w:pos="425"/>
        </w:tabs>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Symbol" w:hAnsi="Symbol"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4" w15:restartNumberingAfterBreak="0">
    <w:nsid w:val="53831BD0"/>
    <w:multiLevelType w:val="hybridMultilevel"/>
    <w:tmpl w:val="61F6A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BE6A0E"/>
    <w:multiLevelType w:val="hybridMultilevel"/>
    <w:tmpl w:val="ED56A05A"/>
    <w:lvl w:ilvl="0" w:tplc="B3183616">
      <w:start w:val="1"/>
      <w:numFmt w:val="bullet"/>
      <w:lvlText w:val=""/>
      <w:lvlJc w:val="left"/>
      <w:pPr>
        <w:ind w:left="1200" w:hanging="480"/>
      </w:pPr>
      <w:rPr>
        <w:rFonts w:ascii="Symbol" w:hAnsi="Symbol"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6" w15:restartNumberingAfterBreak="0">
    <w:nsid w:val="5F93678F"/>
    <w:multiLevelType w:val="hybridMultilevel"/>
    <w:tmpl w:val="495E0CF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F95FA8"/>
    <w:multiLevelType w:val="hybridMultilevel"/>
    <w:tmpl w:val="EBA48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666775"/>
    <w:multiLevelType w:val="hybridMultilevel"/>
    <w:tmpl w:val="750CA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A84BFB"/>
    <w:multiLevelType w:val="hybridMultilevel"/>
    <w:tmpl w:val="5F48E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C4055D"/>
    <w:multiLevelType w:val="multilevel"/>
    <w:tmpl w:val="3D8EDB06"/>
    <w:lvl w:ilvl="0">
      <w:start w:val="1"/>
      <w:numFmt w:val="bullet"/>
      <w:lvlText w:val=""/>
      <w:lvlJc w:val="left"/>
      <w:pPr>
        <w:tabs>
          <w:tab w:val="num" w:pos="720"/>
        </w:tabs>
        <w:ind w:left="720" w:hanging="360"/>
      </w:pPr>
      <w:rPr>
        <w:rFonts w:ascii="Wingdings" w:hAnsi="Wingdings"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3F30C0"/>
    <w:multiLevelType w:val="hybridMultilevel"/>
    <w:tmpl w:val="FEB4E1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F9271CD"/>
    <w:multiLevelType w:val="hybridMultilevel"/>
    <w:tmpl w:val="2A486C2E"/>
    <w:lvl w:ilvl="0" w:tplc="B42E00F8">
      <w:start w:val="1"/>
      <w:numFmt w:val="bullet"/>
      <w:pStyle w:val="Bullets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6843C0"/>
    <w:multiLevelType w:val="multilevel"/>
    <w:tmpl w:val="8BB414F2"/>
    <w:numStyleLink w:val="BodyTextBullets"/>
  </w:abstractNum>
  <w:abstractNum w:abstractNumId="24" w15:restartNumberingAfterBreak="0">
    <w:nsid w:val="77FA0BFD"/>
    <w:multiLevelType w:val="hybridMultilevel"/>
    <w:tmpl w:val="16008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A723D26"/>
    <w:multiLevelType w:val="hybridMultilevel"/>
    <w:tmpl w:val="3A625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6E7A7C"/>
    <w:multiLevelType w:val="hybridMultilevel"/>
    <w:tmpl w:val="99E204BC"/>
    <w:lvl w:ilvl="0" w:tplc="B3183616">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16cid:durableId="1714228802">
    <w:abstractNumId w:val="26"/>
  </w:num>
  <w:num w:numId="2" w16cid:durableId="1083257822">
    <w:abstractNumId w:val="8"/>
  </w:num>
  <w:num w:numId="3" w16cid:durableId="622155998">
    <w:abstractNumId w:val="5"/>
  </w:num>
  <w:num w:numId="4" w16cid:durableId="739144">
    <w:abstractNumId w:val="20"/>
  </w:num>
  <w:num w:numId="5" w16cid:durableId="1955166178">
    <w:abstractNumId w:val="22"/>
  </w:num>
  <w:num w:numId="6" w16cid:durableId="1175916765">
    <w:abstractNumId w:val="7"/>
  </w:num>
  <w:num w:numId="7" w16cid:durableId="415321949">
    <w:abstractNumId w:val="26"/>
  </w:num>
  <w:num w:numId="8" w16cid:durableId="240792761">
    <w:abstractNumId w:val="26"/>
  </w:num>
  <w:num w:numId="9" w16cid:durableId="1744251699">
    <w:abstractNumId w:val="26"/>
  </w:num>
  <w:num w:numId="10" w16cid:durableId="658730190">
    <w:abstractNumId w:val="3"/>
  </w:num>
  <w:num w:numId="11" w16cid:durableId="91752307">
    <w:abstractNumId w:val="19"/>
  </w:num>
  <w:num w:numId="12" w16cid:durableId="1284996651">
    <w:abstractNumId w:val="13"/>
  </w:num>
  <w:num w:numId="13" w16cid:durableId="837580904">
    <w:abstractNumId w:val="23"/>
    <w:lvlOverride w:ilvl="0">
      <w:lvl w:ilvl="0">
        <w:start w:val="1"/>
        <w:numFmt w:val="bullet"/>
        <w:pStyle w:val="RTOWorksBullet1"/>
        <w:lvlText w:val=""/>
        <w:lvlJc w:val="left"/>
        <w:pPr>
          <w:ind w:left="425" w:hanging="425"/>
        </w:pPr>
        <w:rPr>
          <w:rFonts w:ascii="Symbol" w:hAnsi="Symbol" w:hint="default"/>
        </w:rPr>
      </w:lvl>
    </w:lvlOverride>
  </w:num>
  <w:num w:numId="14" w16cid:durableId="274025067">
    <w:abstractNumId w:val="10"/>
  </w:num>
  <w:num w:numId="15" w16cid:durableId="1553224792">
    <w:abstractNumId w:val="10"/>
  </w:num>
  <w:num w:numId="16" w16cid:durableId="1823035789">
    <w:abstractNumId w:val="16"/>
  </w:num>
  <w:num w:numId="17" w16cid:durableId="216012660">
    <w:abstractNumId w:val="11"/>
  </w:num>
  <w:num w:numId="18" w16cid:durableId="1653637064">
    <w:abstractNumId w:val="9"/>
  </w:num>
  <w:num w:numId="19" w16cid:durableId="932082684">
    <w:abstractNumId w:val="18"/>
  </w:num>
  <w:num w:numId="20" w16cid:durableId="1696072792">
    <w:abstractNumId w:val="0"/>
  </w:num>
  <w:num w:numId="21" w16cid:durableId="1840533085">
    <w:abstractNumId w:val="14"/>
  </w:num>
  <w:num w:numId="22" w16cid:durableId="555506638">
    <w:abstractNumId w:val="12"/>
  </w:num>
  <w:num w:numId="23" w16cid:durableId="1877966818">
    <w:abstractNumId w:val="21"/>
  </w:num>
  <w:num w:numId="24" w16cid:durableId="789056768">
    <w:abstractNumId w:val="4"/>
  </w:num>
  <w:num w:numId="25" w16cid:durableId="99497191">
    <w:abstractNumId w:val="6"/>
  </w:num>
  <w:num w:numId="26" w16cid:durableId="725762119">
    <w:abstractNumId w:val="26"/>
  </w:num>
  <w:num w:numId="27" w16cid:durableId="1139612591">
    <w:abstractNumId w:val="15"/>
  </w:num>
  <w:num w:numId="28" w16cid:durableId="963733138">
    <w:abstractNumId w:val="26"/>
  </w:num>
  <w:num w:numId="29" w16cid:durableId="1447580070">
    <w:abstractNumId w:val="2"/>
  </w:num>
  <w:num w:numId="30" w16cid:durableId="445587730">
    <w:abstractNumId w:val="24"/>
  </w:num>
  <w:num w:numId="31" w16cid:durableId="1201553315">
    <w:abstractNumId w:val="1"/>
  </w:num>
  <w:num w:numId="32" w16cid:durableId="993146255">
    <w:abstractNumId w:val="17"/>
  </w:num>
  <w:num w:numId="33" w16cid:durableId="66108449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179"/>
    <w:rsid w:val="000013EE"/>
    <w:rsid w:val="00004AC8"/>
    <w:rsid w:val="00045376"/>
    <w:rsid w:val="00054BD2"/>
    <w:rsid w:val="000B2E27"/>
    <w:rsid w:val="000B5ABD"/>
    <w:rsid w:val="001253C0"/>
    <w:rsid w:val="00130C82"/>
    <w:rsid w:val="001377FF"/>
    <w:rsid w:val="001429FD"/>
    <w:rsid w:val="00144317"/>
    <w:rsid w:val="001802F4"/>
    <w:rsid w:val="00196371"/>
    <w:rsid w:val="001B4472"/>
    <w:rsid w:val="001F707B"/>
    <w:rsid w:val="001F7443"/>
    <w:rsid w:val="00255463"/>
    <w:rsid w:val="002575F5"/>
    <w:rsid w:val="00257C06"/>
    <w:rsid w:val="00260084"/>
    <w:rsid w:val="00281A73"/>
    <w:rsid w:val="00285CD2"/>
    <w:rsid w:val="002945A7"/>
    <w:rsid w:val="002E42F7"/>
    <w:rsid w:val="003154C5"/>
    <w:rsid w:val="003331FF"/>
    <w:rsid w:val="00365309"/>
    <w:rsid w:val="00372ED8"/>
    <w:rsid w:val="00375A59"/>
    <w:rsid w:val="00384282"/>
    <w:rsid w:val="003A0360"/>
    <w:rsid w:val="003B606D"/>
    <w:rsid w:val="003C5B89"/>
    <w:rsid w:val="003C5EDF"/>
    <w:rsid w:val="003D7954"/>
    <w:rsid w:val="003E65CF"/>
    <w:rsid w:val="00402E02"/>
    <w:rsid w:val="0043133B"/>
    <w:rsid w:val="00443F1B"/>
    <w:rsid w:val="00455EA7"/>
    <w:rsid w:val="00477B19"/>
    <w:rsid w:val="00490A51"/>
    <w:rsid w:val="004920CA"/>
    <w:rsid w:val="00492427"/>
    <w:rsid w:val="004B4041"/>
    <w:rsid w:val="004C1DAC"/>
    <w:rsid w:val="004C2344"/>
    <w:rsid w:val="005039A3"/>
    <w:rsid w:val="00512C05"/>
    <w:rsid w:val="00520885"/>
    <w:rsid w:val="00532F4F"/>
    <w:rsid w:val="0053421D"/>
    <w:rsid w:val="00545A65"/>
    <w:rsid w:val="00546179"/>
    <w:rsid w:val="005B3BBB"/>
    <w:rsid w:val="005C51B9"/>
    <w:rsid w:val="005E1A86"/>
    <w:rsid w:val="00610F05"/>
    <w:rsid w:val="00630C17"/>
    <w:rsid w:val="0063505B"/>
    <w:rsid w:val="00642754"/>
    <w:rsid w:val="0064427B"/>
    <w:rsid w:val="006451F8"/>
    <w:rsid w:val="00646513"/>
    <w:rsid w:val="00646AE8"/>
    <w:rsid w:val="0066030F"/>
    <w:rsid w:val="00667A33"/>
    <w:rsid w:val="00691A9C"/>
    <w:rsid w:val="006B126E"/>
    <w:rsid w:val="006B130F"/>
    <w:rsid w:val="006C50CA"/>
    <w:rsid w:val="006E01D6"/>
    <w:rsid w:val="006F15A6"/>
    <w:rsid w:val="006F2397"/>
    <w:rsid w:val="00713EA4"/>
    <w:rsid w:val="007432A6"/>
    <w:rsid w:val="007664AB"/>
    <w:rsid w:val="00774857"/>
    <w:rsid w:val="00782EB7"/>
    <w:rsid w:val="00790847"/>
    <w:rsid w:val="007A07E1"/>
    <w:rsid w:val="007A19FB"/>
    <w:rsid w:val="007B0D97"/>
    <w:rsid w:val="007D5006"/>
    <w:rsid w:val="007E4CF9"/>
    <w:rsid w:val="00823C6E"/>
    <w:rsid w:val="0083708C"/>
    <w:rsid w:val="008444F7"/>
    <w:rsid w:val="00864DED"/>
    <w:rsid w:val="008D4AD0"/>
    <w:rsid w:val="008E0CB9"/>
    <w:rsid w:val="008E46AE"/>
    <w:rsid w:val="00936BB8"/>
    <w:rsid w:val="00943327"/>
    <w:rsid w:val="009511CB"/>
    <w:rsid w:val="00953CAF"/>
    <w:rsid w:val="00955FE8"/>
    <w:rsid w:val="0096226F"/>
    <w:rsid w:val="009671FD"/>
    <w:rsid w:val="00975E9E"/>
    <w:rsid w:val="00982B26"/>
    <w:rsid w:val="009A1ED4"/>
    <w:rsid w:val="009D7935"/>
    <w:rsid w:val="009E1B26"/>
    <w:rsid w:val="009E284A"/>
    <w:rsid w:val="00A154A8"/>
    <w:rsid w:val="00A21D00"/>
    <w:rsid w:val="00A25E7B"/>
    <w:rsid w:val="00A646FD"/>
    <w:rsid w:val="00A75406"/>
    <w:rsid w:val="00A862C7"/>
    <w:rsid w:val="00AB1442"/>
    <w:rsid w:val="00AB3532"/>
    <w:rsid w:val="00AC1540"/>
    <w:rsid w:val="00AD2F9B"/>
    <w:rsid w:val="00AD3886"/>
    <w:rsid w:val="00AE1C4A"/>
    <w:rsid w:val="00B0065B"/>
    <w:rsid w:val="00B23FC1"/>
    <w:rsid w:val="00B40E6E"/>
    <w:rsid w:val="00B82213"/>
    <w:rsid w:val="00B92C11"/>
    <w:rsid w:val="00BD321B"/>
    <w:rsid w:val="00BD61F7"/>
    <w:rsid w:val="00BF06F3"/>
    <w:rsid w:val="00BF635E"/>
    <w:rsid w:val="00BF737C"/>
    <w:rsid w:val="00C2566C"/>
    <w:rsid w:val="00C33DA3"/>
    <w:rsid w:val="00C539DA"/>
    <w:rsid w:val="00C601C6"/>
    <w:rsid w:val="00C63297"/>
    <w:rsid w:val="00C65C3C"/>
    <w:rsid w:val="00C86CEC"/>
    <w:rsid w:val="00C93073"/>
    <w:rsid w:val="00CA0E48"/>
    <w:rsid w:val="00CC4738"/>
    <w:rsid w:val="00CD5CFB"/>
    <w:rsid w:val="00D04D0F"/>
    <w:rsid w:val="00D132A1"/>
    <w:rsid w:val="00D1645D"/>
    <w:rsid w:val="00D1667B"/>
    <w:rsid w:val="00D448D7"/>
    <w:rsid w:val="00D44905"/>
    <w:rsid w:val="00D5009B"/>
    <w:rsid w:val="00D5584D"/>
    <w:rsid w:val="00D5688C"/>
    <w:rsid w:val="00D9672A"/>
    <w:rsid w:val="00DA2B61"/>
    <w:rsid w:val="00DC6895"/>
    <w:rsid w:val="00DC7C7B"/>
    <w:rsid w:val="00E01626"/>
    <w:rsid w:val="00E04D6F"/>
    <w:rsid w:val="00E32318"/>
    <w:rsid w:val="00E347F1"/>
    <w:rsid w:val="00E40157"/>
    <w:rsid w:val="00E53B91"/>
    <w:rsid w:val="00EB11F6"/>
    <w:rsid w:val="00ED558C"/>
    <w:rsid w:val="00EF0D43"/>
    <w:rsid w:val="00F03536"/>
    <w:rsid w:val="00F236EA"/>
    <w:rsid w:val="00F260E3"/>
    <w:rsid w:val="00F454EE"/>
    <w:rsid w:val="00F6200C"/>
    <w:rsid w:val="00F73F87"/>
    <w:rsid w:val="00F80F50"/>
    <w:rsid w:val="00F876F4"/>
    <w:rsid w:val="00F91F96"/>
    <w:rsid w:val="00FA361B"/>
    <w:rsid w:val="00FC5C5F"/>
    <w:rsid w:val="00FD4919"/>
    <w:rsid w:val="00FD5DFD"/>
    <w:rsid w:val="00FE5E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733B9"/>
  <w15:chartTrackingRefBased/>
  <w15:docId w15:val="{616BAA30-7196-4385-A516-646069951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4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045376"/>
    <w:pPr>
      <w:keepNext/>
      <w:keepLines/>
      <w:spacing w:before="40" w:after="0"/>
      <w:outlineLvl w:val="1"/>
    </w:pPr>
    <w:rPr>
      <w:rFonts w:ascii="Tahoma" w:eastAsiaTheme="majorEastAsia" w:hAnsi="Tahoma" w:cstheme="majorBidi"/>
      <w:b/>
      <w:color w:val="1F3864" w:themeColor="accent1" w:themeShade="80"/>
      <w:sz w:val="32"/>
      <w:szCs w:val="26"/>
    </w:rPr>
  </w:style>
  <w:style w:type="paragraph" w:styleId="Heading3">
    <w:name w:val="heading 3"/>
    <w:basedOn w:val="Normal"/>
    <w:next w:val="Normal"/>
    <w:link w:val="Heading3Char"/>
    <w:unhideWhenUsed/>
    <w:qFormat/>
    <w:rsid w:val="00045376"/>
    <w:pPr>
      <w:keepNext/>
      <w:keepLines/>
      <w:spacing w:before="40" w:after="120"/>
      <w:outlineLvl w:val="2"/>
    </w:pPr>
    <w:rPr>
      <w:rFonts w:ascii="Tahoma" w:eastAsiaTheme="majorEastAsia" w:hAnsi="Tahoma" w:cstheme="majorBidi"/>
      <w:b/>
      <w:color w:val="1F3864" w:themeColor="accent1" w:themeShade="80"/>
      <w:sz w:val="28"/>
      <w:szCs w:val="24"/>
    </w:rPr>
  </w:style>
  <w:style w:type="paragraph" w:styleId="Heading4">
    <w:name w:val="heading 4"/>
    <w:basedOn w:val="Normal"/>
    <w:next w:val="Normal"/>
    <w:link w:val="Heading4Char"/>
    <w:unhideWhenUsed/>
    <w:qFormat/>
    <w:rsid w:val="00E3231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D61F7"/>
    <w:rPr>
      <w:color w:val="0000FF"/>
      <w:u w:val="single"/>
    </w:rPr>
  </w:style>
  <w:style w:type="character" w:styleId="UnresolvedMention">
    <w:name w:val="Unresolved Mention"/>
    <w:basedOn w:val="DefaultParagraphFont"/>
    <w:uiPriority w:val="99"/>
    <w:semiHidden/>
    <w:unhideWhenUsed/>
    <w:rsid w:val="00713EA4"/>
    <w:rPr>
      <w:color w:val="605E5C"/>
      <w:shd w:val="clear" w:color="auto" w:fill="E1DFDD"/>
    </w:rPr>
  </w:style>
  <w:style w:type="paragraph" w:customStyle="1" w:styleId="Bulletstext">
    <w:name w:val="Bullets text"/>
    <w:basedOn w:val="Normal"/>
    <w:autoRedefine/>
    <w:qFormat/>
    <w:rsid w:val="004C1DAC"/>
    <w:pPr>
      <w:numPr>
        <w:numId w:val="5"/>
      </w:numPr>
      <w:spacing w:before="60" w:after="60" w:line="240" w:lineRule="auto"/>
      <w:ind w:left="2774"/>
    </w:pPr>
    <w:rPr>
      <w:rFonts w:ascii="Arial" w:eastAsia="Calibri" w:hAnsi="Arial" w:cs="Arial"/>
      <w:color w:val="000000"/>
      <w:sz w:val="20"/>
      <w:szCs w:val="20"/>
      <w:lang w:eastAsia="en-AU"/>
    </w:rPr>
  </w:style>
  <w:style w:type="paragraph" w:customStyle="1" w:styleId="QMSEndofDocBullets">
    <w:name w:val="QMS End of Doc Bullets"/>
    <w:basedOn w:val="Normal"/>
    <w:qFormat/>
    <w:rsid w:val="00477B19"/>
    <w:pPr>
      <w:numPr>
        <w:numId w:val="6"/>
      </w:numPr>
      <w:spacing w:after="0" w:line="276" w:lineRule="auto"/>
      <w:contextualSpacing/>
    </w:pPr>
    <w:rPr>
      <w:rFonts w:ascii="Georgia" w:eastAsia="DengXian" w:hAnsi="Georgia" w:cs="Times New Roman"/>
      <w:color w:val="595959"/>
      <w:sz w:val="20"/>
      <w:szCs w:val="20"/>
      <w:lang w:val="x-none" w:eastAsia="x-none"/>
    </w:rPr>
  </w:style>
  <w:style w:type="table" w:styleId="TableGrid">
    <w:name w:val="Table Grid"/>
    <w:basedOn w:val="TableNormal"/>
    <w:uiPriority w:val="39"/>
    <w:rsid w:val="00D1645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OWorksBodyText">
    <w:name w:val="RTO Works Body Text"/>
    <w:qFormat/>
    <w:rsid w:val="00D1645D"/>
    <w:pPr>
      <w:spacing w:before="120" w:after="120" w:line="288" w:lineRule="auto"/>
    </w:pPr>
    <w:rPr>
      <w:rFonts w:ascii="Arial" w:hAnsi="Arial" w:cs="Arial"/>
      <w:sz w:val="20"/>
      <w:szCs w:val="20"/>
    </w:rPr>
  </w:style>
  <w:style w:type="paragraph" w:customStyle="1" w:styleId="RTOWorksHeading2">
    <w:name w:val="RTO Works Heading 2"/>
    <w:next w:val="RTOWorksBodyText"/>
    <w:qFormat/>
    <w:rsid w:val="00D1645D"/>
    <w:pPr>
      <w:spacing w:before="300" w:after="120"/>
    </w:pPr>
    <w:rPr>
      <w:rFonts w:ascii="Century Gothic" w:hAnsi="Century Gothic" w:cs="Arial"/>
      <w:b/>
      <w:bCs/>
      <w:sz w:val="24"/>
      <w:szCs w:val="24"/>
    </w:rPr>
  </w:style>
  <w:style w:type="paragraph" w:styleId="Header">
    <w:name w:val="header"/>
    <w:basedOn w:val="Normal"/>
    <w:link w:val="HeaderChar"/>
    <w:uiPriority w:val="99"/>
    <w:unhideWhenUsed/>
    <w:qFormat/>
    <w:rsid w:val="00D1645D"/>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D1645D"/>
  </w:style>
  <w:style w:type="paragraph" w:styleId="Footer">
    <w:name w:val="footer"/>
    <w:basedOn w:val="Normal"/>
    <w:link w:val="FooterChar"/>
    <w:uiPriority w:val="99"/>
    <w:unhideWhenUsed/>
    <w:rsid w:val="00D164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45D"/>
  </w:style>
  <w:style w:type="paragraph" w:styleId="BodyText">
    <w:name w:val="Body Text"/>
    <w:basedOn w:val="Normal"/>
    <w:link w:val="BodyTextChar"/>
    <w:qFormat/>
    <w:rsid w:val="00975E9E"/>
    <w:pPr>
      <w:widowControl w:val="0"/>
      <w:autoSpaceDE w:val="0"/>
      <w:autoSpaceDN w:val="0"/>
      <w:spacing w:after="0" w:line="240" w:lineRule="auto"/>
    </w:pPr>
    <w:rPr>
      <w:rFonts w:ascii="Arial" w:eastAsia="Arial" w:hAnsi="Arial" w:cs="Arial"/>
      <w:sz w:val="31"/>
      <w:szCs w:val="31"/>
      <w:lang w:val="en-US" w:bidi="en-US"/>
    </w:rPr>
  </w:style>
  <w:style w:type="character" w:customStyle="1" w:styleId="BodyTextChar">
    <w:name w:val="Body Text Char"/>
    <w:basedOn w:val="DefaultParagraphFont"/>
    <w:link w:val="BodyText"/>
    <w:rsid w:val="00975E9E"/>
    <w:rPr>
      <w:rFonts w:ascii="Arial" w:eastAsia="Arial" w:hAnsi="Arial" w:cs="Arial"/>
      <w:sz w:val="31"/>
      <w:szCs w:val="31"/>
      <w:lang w:val="en-US" w:bidi="en-US"/>
    </w:rPr>
  </w:style>
  <w:style w:type="paragraph" w:customStyle="1" w:styleId="QMSNumberedSubhead">
    <w:name w:val="QMS Numbered Subhead"/>
    <w:basedOn w:val="Heading4"/>
    <w:qFormat/>
    <w:rsid w:val="00E32318"/>
    <w:pPr>
      <w:keepNext w:val="0"/>
      <w:keepLines w:val="0"/>
      <w:spacing w:before="240" w:after="120" w:line="276" w:lineRule="auto"/>
      <w:ind w:left="426" w:hanging="426"/>
      <w:contextualSpacing/>
      <w:jc w:val="both"/>
    </w:pPr>
    <w:rPr>
      <w:rFonts w:ascii="Arial" w:eastAsia="DengXian" w:hAnsi="Arial" w:cs="Arial"/>
      <w:b/>
      <w:i w:val="0"/>
      <w:iCs w:val="0"/>
      <w:color w:val="595959"/>
      <w:sz w:val="20"/>
      <w:szCs w:val="20"/>
      <w:lang w:eastAsia="x-none"/>
    </w:rPr>
  </w:style>
  <w:style w:type="paragraph" w:styleId="ListParagraph">
    <w:name w:val="List Paragraph"/>
    <w:basedOn w:val="Normal"/>
    <w:link w:val="ListParagraphChar"/>
    <w:uiPriority w:val="34"/>
    <w:qFormat/>
    <w:rsid w:val="00E32318"/>
    <w:pPr>
      <w:ind w:left="720"/>
      <w:contextualSpacing/>
    </w:pPr>
    <w:rPr>
      <w:rFonts w:ascii="Calibri" w:eastAsia="SimSun" w:hAnsi="Calibri" w:cs="Times New Roman"/>
    </w:rPr>
  </w:style>
  <w:style w:type="character" w:customStyle="1" w:styleId="ListParagraphChar">
    <w:name w:val="List Paragraph Char"/>
    <w:link w:val="ListParagraph"/>
    <w:uiPriority w:val="34"/>
    <w:rsid w:val="00E32318"/>
    <w:rPr>
      <w:rFonts w:ascii="Calibri" w:eastAsia="SimSun" w:hAnsi="Calibri" w:cs="Times New Roman"/>
    </w:rPr>
  </w:style>
  <w:style w:type="character" w:customStyle="1" w:styleId="Heading4Char">
    <w:name w:val="Heading 4 Char"/>
    <w:basedOn w:val="DefaultParagraphFont"/>
    <w:link w:val="Heading4"/>
    <w:rsid w:val="00E32318"/>
    <w:rPr>
      <w:rFonts w:asciiTheme="majorHAnsi" w:eastAsiaTheme="majorEastAsia" w:hAnsiTheme="majorHAnsi" w:cstheme="majorBidi"/>
      <w:i/>
      <w:iCs/>
      <w:color w:val="2F5496" w:themeColor="accent1" w:themeShade="BF"/>
    </w:rPr>
  </w:style>
  <w:style w:type="numbering" w:customStyle="1" w:styleId="BodyTextBullets">
    <w:name w:val="Body Text Bullets"/>
    <w:uiPriority w:val="99"/>
    <w:locked/>
    <w:rsid w:val="008D4AD0"/>
    <w:pPr>
      <w:numPr>
        <w:numId w:val="12"/>
      </w:numPr>
    </w:pPr>
  </w:style>
  <w:style w:type="paragraph" w:customStyle="1" w:styleId="RTOWorksBullet1">
    <w:name w:val="RTO Works Bullet 1"/>
    <w:qFormat/>
    <w:rsid w:val="008D4AD0"/>
    <w:pPr>
      <w:numPr>
        <w:numId w:val="13"/>
      </w:numPr>
      <w:spacing w:before="120" w:after="120" w:line="288" w:lineRule="auto"/>
    </w:pPr>
    <w:rPr>
      <w:rFonts w:ascii="Arial" w:hAnsi="Arial" w:cs="Arial"/>
      <w:sz w:val="20"/>
      <w:szCs w:val="20"/>
    </w:rPr>
  </w:style>
  <w:style w:type="paragraph" w:customStyle="1" w:styleId="RTOWorksBullet2">
    <w:name w:val="RTO Works Bullet 2"/>
    <w:qFormat/>
    <w:rsid w:val="008D4AD0"/>
    <w:pPr>
      <w:numPr>
        <w:ilvl w:val="1"/>
        <w:numId w:val="13"/>
      </w:numPr>
      <w:spacing w:before="120" w:after="120" w:line="288" w:lineRule="auto"/>
    </w:pPr>
    <w:rPr>
      <w:rFonts w:ascii="Arial" w:hAnsi="Arial" w:cs="Arial"/>
      <w:sz w:val="20"/>
      <w:szCs w:val="20"/>
    </w:rPr>
  </w:style>
  <w:style w:type="paragraph" w:customStyle="1" w:styleId="RTOWorksBullet3">
    <w:name w:val="RTO Works Bullet 3"/>
    <w:basedOn w:val="Normal"/>
    <w:qFormat/>
    <w:rsid w:val="008D4AD0"/>
    <w:pPr>
      <w:numPr>
        <w:ilvl w:val="2"/>
        <w:numId w:val="13"/>
      </w:numPr>
      <w:spacing w:before="120" w:after="120" w:line="288" w:lineRule="auto"/>
    </w:pPr>
    <w:rPr>
      <w:rFonts w:ascii="Arial" w:hAnsi="Arial" w:cs="Arial"/>
      <w:sz w:val="20"/>
      <w:szCs w:val="20"/>
    </w:rPr>
  </w:style>
  <w:style w:type="paragraph" w:customStyle="1" w:styleId="RTOWorksHeading4">
    <w:name w:val="RTO Works Heading 4"/>
    <w:basedOn w:val="Normal"/>
    <w:qFormat/>
    <w:rsid w:val="008D4AD0"/>
    <w:pPr>
      <w:spacing w:before="360" w:after="120" w:line="276" w:lineRule="auto"/>
    </w:pPr>
    <w:rPr>
      <w:rFonts w:ascii="Century Gothic" w:hAnsi="Century Gothic" w:cs="Arial"/>
      <w:b/>
      <w:bCs/>
      <w:sz w:val="23"/>
      <w:szCs w:val="28"/>
    </w:rPr>
  </w:style>
  <w:style w:type="paragraph" w:customStyle="1" w:styleId="has-text-color">
    <w:name w:val="has-text-color"/>
    <w:basedOn w:val="Normal"/>
    <w:rsid w:val="00285CD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285CD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rsid w:val="00045376"/>
    <w:rPr>
      <w:rFonts w:ascii="Tahoma" w:eastAsiaTheme="majorEastAsia" w:hAnsi="Tahoma" w:cstheme="majorBidi"/>
      <w:b/>
      <w:color w:val="1F3864" w:themeColor="accent1" w:themeShade="80"/>
      <w:sz w:val="32"/>
      <w:szCs w:val="26"/>
    </w:rPr>
  </w:style>
  <w:style w:type="character" w:customStyle="1" w:styleId="Heading3Char">
    <w:name w:val="Heading 3 Char"/>
    <w:basedOn w:val="DefaultParagraphFont"/>
    <w:link w:val="Heading3"/>
    <w:rsid w:val="00045376"/>
    <w:rPr>
      <w:rFonts w:ascii="Tahoma" w:eastAsiaTheme="majorEastAsia" w:hAnsi="Tahoma" w:cstheme="majorBidi"/>
      <w:b/>
      <w:color w:val="1F3864" w:themeColor="accent1" w:themeShade="80"/>
      <w:sz w:val="28"/>
      <w:szCs w:val="24"/>
    </w:rPr>
  </w:style>
  <w:style w:type="table" w:customStyle="1" w:styleId="TableGrid0">
    <w:name w:val="TableGrid"/>
    <w:rsid w:val="00045376"/>
    <w:pPr>
      <w:spacing w:after="0" w:line="240" w:lineRule="auto"/>
    </w:pPr>
    <w:rPr>
      <w:rFonts w:eastAsiaTheme="minorEastAsia"/>
      <w:lang w:val="en-US"/>
    </w:rPr>
    <w:tblPr>
      <w:tblCellMar>
        <w:top w:w="0" w:type="dxa"/>
        <w:left w:w="0" w:type="dxa"/>
        <w:bottom w:w="0" w:type="dxa"/>
        <w:right w:w="0" w:type="dxa"/>
      </w:tblCellMar>
    </w:tblPr>
  </w:style>
  <w:style w:type="paragraph" w:styleId="Subtitle">
    <w:name w:val="Subtitle"/>
    <w:basedOn w:val="Normal"/>
    <w:next w:val="Normal"/>
    <w:link w:val="SubtitleChar"/>
    <w:uiPriority w:val="11"/>
    <w:qFormat/>
    <w:rsid w:val="001802F4"/>
    <w:pPr>
      <w:spacing w:before="120" w:after="120" w:line="276" w:lineRule="auto"/>
      <w:ind w:left="360"/>
      <w:contextualSpacing/>
      <w:jc w:val="both"/>
    </w:pPr>
    <w:rPr>
      <w:rFonts w:ascii="Arial" w:eastAsia="DengXian" w:hAnsi="Arial" w:cs="Arial"/>
      <w:sz w:val="20"/>
      <w:lang w:val="en-US"/>
    </w:rPr>
  </w:style>
  <w:style w:type="character" w:customStyle="1" w:styleId="SubtitleChar">
    <w:name w:val="Subtitle Char"/>
    <w:basedOn w:val="DefaultParagraphFont"/>
    <w:link w:val="Subtitle"/>
    <w:uiPriority w:val="11"/>
    <w:rsid w:val="001802F4"/>
    <w:rPr>
      <w:rFonts w:ascii="Arial" w:eastAsia="DengXian" w:hAnsi="Arial" w:cs="Arial"/>
      <w:sz w:val="20"/>
      <w:lang w:val="en-US"/>
    </w:rPr>
  </w:style>
  <w:style w:type="paragraph" w:styleId="BodyText2">
    <w:name w:val="Body Text 2"/>
    <w:basedOn w:val="Normal"/>
    <w:link w:val="BodyText2Char"/>
    <w:uiPriority w:val="99"/>
    <w:semiHidden/>
    <w:unhideWhenUsed/>
    <w:rsid w:val="00532F4F"/>
    <w:pPr>
      <w:spacing w:after="120" w:line="480" w:lineRule="auto"/>
    </w:pPr>
  </w:style>
  <w:style w:type="character" w:customStyle="1" w:styleId="BodyText2Char">
    <w:name w:val="Body Text 2 Char"/>
    <w:basedOn w:val="DefaultParagraphFont"/>
    <w:link w:val="BodyText2"/>
    <w:semiHidden/>
    <w:rsid w:val="00532F4F"/>
  </w:style>
  <w:style w:type="character" w:customStyle="1" w:styleId="Heading1Char">
    <w:name w:val="Heading 1 Char"/>
    <w:basedOn w:val="DefaultParagraphFont"/>
    <w:link w:val="Heading1"/>
    <w:uiPriority w:val="9"/>
    <w:rsid w:val="0049242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582365">
      <w:bodyDiv w:val="1"/>
      <w:marLeft w:val="0"/>
      <w:marRight w:val="0"/>
      <w:marTop w:val="0"/>
      <w:marBottom w:val="0"/>
      <w:divBdr>
        <w:top w:val="none" w:sz="0" w:space="0" w:color="auto"/>
        <w:left w:val="none" w:sz="0" w:space="0" w:color="auto"/>
        <w:bottom w:val="none" w:sz="0" w:space="0" w:color="auto"/>
        <w:right w:val="none" w:sz="0" w:space="0" w:color="auto"/>
      </w:divBdr>
    </w:div>
    <w:div w:id="427120177">
      <w:bodyDiv w:val="1"/>
      <w:marLeft w:val="0"/>
      <w:marRight w:val="0"/>
      <w:marTop w:val="0"/>
      <w:marBottom w:val="0"/>
      <w:divBdr>
        <w:top w:val="none" w:sz="0" w:space="0" w:color="auto"/>
        <w:left w:val="none" w:sz="0" w:space="0" w:color="auto"/>
        <w:bottom w:val="none" w:sz="0" w:space="0" w:color="auto"/>
        <w:right w:val="none" w:sz="0" w:space="0" w:color="auto"/>
      </w:divBdr>
    </w:div>
    <w:div w:id="676276345">
      <w:bodyDiv w:val="1"/>
      <w:marLeft w:val="0"/>
      <w:marRight w:val="0"/>
      <w:marTop w:val="0"/>
      <w:marBottom w:val="0"/>
      <w:divBdr>
        <w:top w:val="none" w:sz="0" w:space="0" w:color="auto"/>
        <w:left w:val="none" w:sz="0" w:space="0" w:color="auto"/>
        <w:bottom w:val="none" w:sz="0" w:space="0" w:color="auto"/>
        <w:right w:val="none" w:sz="0" w:space="0" w:color="auto"/>
      </w:divBdr>
    </w:div>
    <w:div w:id="733549906">
      <w:bodyDiv w:val="1"/>
      <w:marLeft w:val="0"/>
      <w:marRight w:val="0"/>
      <w:marTop w:val="0"/>
      <w:marBottom w:val="0"/>
      <w:divBdr>
        <w:top w:val="none" w:sz="0" w:space="0" w:color="auto"/>
        <w:left w:val="none" w:sz="0" w:space="0" w:color="auto"/>
        <w:bottom w:val="none" w:sz="0" w:space="0" w:color="auto"/>
        <w:right w:val="none" w:sz="0" w:space="0" w:color="auto"/>
      </w:divBdr>
    </w:div>
    <w:div w:id="954487552">
      <w:bodyDiv w:val="1"/>
      <w:marLeft w:val="0"/>
      <w:marRight w:val="0"/>
      <w:marTop w:val="0"/>
      <w:marBottom w:val="0"/>
      <w:divBdr>
        <w:top w:val="none" w:sz="0" w:space="0" w:color="auto"/>
        <w:left w:val="none" w:sz="0" w:space="0" w:color="auto"/>
        <w:bottom w:val="none" w:sz="0" w:space="0" w:color="auto"/>
        <w:right w:val="none" w:sz="0" w:space="0" w:color="auto"/>
      </w:divBdr>
    </w:div>
    <w:div w:id="1002052551">
      <w:bodyDiv w:val="1"/>
      <w:marLeft w:val="0"/>
      <w:marRight w:val="0"/>
      <w:marTop w:val="0"/>
      <w:marBottom w:val="0"/>
      <w:divBdr>
        <w:top w:val="none" w:sz="0" w:space="0" w:color="auto"/>
        <w:left w:val="none" w:sz="0" w:space="0" w:color="auto"/>
        <w:bottom w:val="none" w:sz="0" w:space="0" w:color="auto"/>
        <w:right w:val="none" w:sz="0" w:space="0" w:color="auto"/>
      </w:divBdr>
    </w:div>
    <w:div w:id="1114406390">
      <w:bodyDiv w:val="1"/>
      <w:marLeft w:val="0"/>
      <w:marRight w:val="0"/>
      <w:marTop w:val="0"/>
      <w:marBottom w:val="0"/>
      <w:divBdr>
        <w:top w:val="none" w:sz="0" w:space="0" w:color="auto"/>
        <w:left w:val="none" w:sz="0" w:space="0" w:color="auto"/>
        <w:bottom w:val="none" w:sz="0" w:space="0" w:color="auto"/>
        <w:right w:val="none" w:sz="0" w:space="0" w:color="auto"/>
      </w:divBdr>
    </w:div>
    <w:div w:id="1146321086">
      <w:bodyDiv w:val="1"/>
      <w:marLeft w:val="0"/>
      <w:marRight w:val="0"/>
      <w:marTop w:val="0"/>
      <w:marBottom w:val="0"/>
      <w:divBdr>
        <w:top w:val="none" w:sz="0" w:space="0" w:color="auto"/>
        <w:left w:val="none" w:sz="0" w:space="0" w:color="auto"/>
        <w:bottom w:val="none" w:sz="0" w:space="0" w:color="auto"/>
        <w:right w:val="none" w:sz="0" w:space="0" w:color="auto"/>
      </w:divBdr>
    </w:div>
    <w:div w:id="1232891793">
      <w:bodyDiv w:val="1"/>
      <w:marLeft w:val="0"/>
      <w:marRight w:val="0"/>
      <w:marTop w:val="0"/>
      <w:marBottom w:val="0"/>
      <w:divBdr>
        <w:top w:val="none" w:sz="0" w:space="0" w:color="auto"/>
        <w:left w:val="none" w:sz="0" w:space="0" w:color="auto"/>
        <w:bottom w:val="none" w:sz="0" w:space="0" w:color="auto"/>
        <w:right w:val="none" w:sz="0" w:space="0" w:color="auto"/>
      </w:divBdr>
      <w:divsChild>
        <w:div w:id="389035693">
          <w:marLeft w:val="0"/>
          <w:marRight w:val="0"/>
          <w:marTop w:val="0"/>
          <w:marBottom w:val="255"/>
          <w:divBdr>
            <w:top w:val="none" w:sz="0" w:space="0" w:color="auto"/>
            <w:left w:val="none" w:sz="0" w:space="0" w:color="auto"/>
            <w:bottom w:val="none" w:sz="0" w:space="0" w:color="auto"/>
            <w:right w:val="none" w:sz="0" w:space="0" w:color="auto"/>
          </w:divBdr>
        </w:div>
      </w:divsChild>
    </w:div>
    <w:div w:id="1236286147">
      <w:bodyDiv w:val="1"/>
      <w:marLeft w:val="0"/>
      <w:marRight w:val="0"/>
      <w:marTop w:val="0"/>
      <w:marBottom w:val="0"/>
      <w:divBdr>
        <w:top w:val="none" w:sz="0" w:space="0" w:color="auto"/>
        <w:left w:val="none" w:sz="0" w:space="0" w:color="auto"/>
        <w:bottom w:val="none" w:sz="0" w:space="0" w:color="auto"/>
        <w:right w:val="none" w:sz="0" w:space="0" w:color="auto"/>
      </w:divBdr>
    </w:div>
    <w:div w:id="1297955873">
      <w:bodyDiv w:val="1"/>
      <w:marLeft w:val="0"/>
      <w:marRight w:val="0"/>
      <w:marTop w:val="0"/>
      <w:marBottom w:val="0"/>
      <w:divBdr>
        <w:top w:val="none" w:sz="0" w:space="0" w:color="auto"/>
        <w:left w:val="none" w:sz="0" w:space="0" w:color="auto"/>
        <w:bottom w:val="none" w:sz="0" w:space="0" w:color="auto"/>
        <w:right w:val="none" w:sz="0" w:space="0" w:color="auto"/>
      </w:divBdr>
    </w:div>
    <w:div w:id="1313867317">
      <w:bodyDiv w:val="1"/>
      <w:marLeft w:val="0"/>
      <w:marRight w:val="0"/>
      <w:marTop w:val="0"/>
      <w:marBottom w:val="0"/>
      <w:divBdr>
        <w:top w:val="none" w:sz="0" w:space="0" w:color="auto"/>
        <w:left w:val="none" w:sz="0" w:space="0" w:color="auto"/>
        <w:bottom w:val="none" w:sz="0" w:space="0" w:color="auto"/>
        <w:right w:val="none" w:sz="0" w:space="0" w:color="auto"/>
      </w:divBdr>
    </w:div>
    <w:div w:id="1441147087">
      <w:bodyDiv w:val="1"/>
      <w:marLeft w:val="0"/>
      <w:marRight w:val="0"/>
      <w:marTop w:val="0"/>
      <w:marBottom w:val="0"/>
      <w:divBdr>
        <w:top w:val="none" w:sz="0" w:space="0" w:color="auto"/>
        <w:left w:val="none" w:sz="0" w:space="0" w:color="auto"/>
        <w:bottom w:val="none" w:sz="0" w:space="0" w:color="auto"/>
        <w:right w:val="none" w:sz="0" w:space="0" w:color="auto"/>
      </w:divBdr>
    </w:div>
    <w:div w:id="1447506116">
      <w:bodyDiv w:val="1"/>
      <w:marLeft w:val="0"/>
      <w:marRight w:val="0"/>
      <w:marTop w:val="0"/>
      <w:marBottom w:val="0"/>
      <w:divBdr>
        <w:top w:val="none" w:sz="0" w:space="0" w:color="auto"/>
        <w:left w:val="none" w:sz="0" w:space="0" w:color="auto"/>
        <w:bottom w:val="none" w:sz="0" w:space="0" w:color="auto"/>
        <w:right w:val="none" w:sz="0" w:space="0" w:color="auto"/>
      </w:divBdr>
    </w:div>
    <w:div w:id="1504123426">
      <w:bodyDiv w:val="1"/>
      <w:marLeft w:val="0"/>
      <w:marRight w:val="0"/>
      <w:marTop w:val="0"/>
      <w:marBottom w:val="0"/>
      <w:divBdr>
        <w:top w:val="none" w:sz="0" w:space="0" w:color="auto"/>
        <w:left w:val="none" w:sz="0" w:space="0" w:color="auto"/>
        <w:bottom w:val="none" w:sz="0" w:space="0" w:color="auto"/>
        <w:right w:val="none" w:sz="0" w:space="0" w:color="auto"/>
      </w:divBdr>
    </w:div>
    <w:div w:id="1877304677">
      <w:bodyDiv w:val="1"/>
      <w:marLeft w:val="0"/>
      <w:marRight w:val="0"/>
      <w:marTop w:val="0"/>
      <w:marBottom w:val="0"/>
      <w:divBdr>
        <w:top w:val="none" w:sz="0" w:space="0" w:color="auto"/>
        <w:left w:val="none" w:sz="0" w:space="0" w:color="auto"/>
        <w:bottom w:val="none" w:sz="0" w:space="0" w:color="auto"/>
        <w:right w:val="none" w:sz="0" w:space="0" w:color="auto"/>
      </w:divBdr>
    </w:div>
    <w:div w:id="1927154131">
      <w:bodyDiv w:val="1"/>
      <w:marLeft w:val="0"/>
      <w:marRight w:val="0"/>
      <w:marTop w:val="0"/>
      <w:marBottom w:val="0"/>
      <w:divBdr>
        <w:top w:val="none" w:sz="0" w:space="0" w:color="auto"/>
        <w:left w:val="none" w:sz="0" w:space="0" w:color="auto"/>
        <w:bottom w:val="none" w:sz="0" w:space="0" w:color="auto"/>
        <w:right w:val="none" w:sz="0" w:space="0" w:color="auto"/>
      </w:divBdr>
    </w:div>
    <w:div w:id="2038043936">
      <w:bodyDiv w:val="1"/>
      <w:marLeft w:val="0"/>
      <w:marRight w:val="0"/>
      <w:marTop w:val="0"/>
      <w:marBottom w:val="0"/>
      <w:divBdr>
        <w:top w:val="none" w:sz="0" w:space="0" w:color="auto"/>
        <w:left w:val="none" w:sz="0" w:space="0" w:color="auto"/>
        <w:bottom w:val="none" w:sz="0" w:space="0" w:color="auto"/>
        <w:right w:val="none" w:sz="0" w:space="0" w:color="auto"/>
      </w:divBdr>
    </w:div>
    <w:div w:id="204833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get.edu.a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get.edu.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et.edu.au" TargetMode="External"/><Relationship Id="rId4" Type="http://schemas.openxmlformats.org/officeDocument/2006/relationships/webSettings" Target="webSettings.xml"/><Relationship Id="rId9" Type="http://schemas.openxmlformats.org/officeDocument/2006/relationships/hyperlink" Target="https://tps.gov.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admin@get." TargetMode="External"/><Relationship Id="rId1" Type="http://schemas.openxmlformats.org/officeDocument/2006/relationships/hyperlink" Target="http://www.get.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14</Pages>
  <Words>5162</Words>
  <Characters>29427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Nipun Bhargava</dc:creator>
  <cp:keywords/>
  <dc:description/>
  <cp:lastModifiedBy>NIPUN BHARGAVA</cp:lastModifiedBy>
  <cp:revision>149</cp:revision>
  <cp:lastPrinted>2021-10-07T04:14:00Z</cp:lastPrinted>
  <dcterms:created xsi:type="dcterms:W3CDTF">2020-04-14T04:23:00Z</dcterms:created>
  <dcterms:modified xsi:type="dcterms:W3CDTF">2022-07-07T04:29:00Z</dcterms:modified>
</cp:coreProperties>
</file>